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788" w:type="dxa"/>
        <w:jc w:val="center"/>
        <w:tblLook w:val="04A0" w:firstRow="1" w:lastRow="0" w:firstColumn="1" w:lastColumn="0" w:noHBand="0" w:noVBand="1"/>
      </w:tblPr>
      <w:tblGrid>
        <w:gridCol w:w="8788"/>
      </w:tblGrid>
      <w:tr w:rsidR="00250325" w:rsidTr="00250325">
        <w:trPr>
          <w:trHeight w:val="360"/>
          <w:jc w:val="center"/>
        </w:trPr>
        <w:tc>
          <w:tcPr>
            <w:tcW w:w="8788" w:type="dxa"/>
          </w:tcPr>
          <w:p w:rsidR="00250325" w:rsidRDefault="006D4858">
            <w:pPr>
              <w:suppressLineNumbers/>
              <w:jc w:val="both"/>
              <w:rPr>
                <w:rFonts w:ascii="Arial" w:hAnsi="Arial"/>
                <w:b/>
                <w:bCs/>
                <w:sz w:val="26"/>
                <w:szCs w:val="26"/>
              </w:rPr>
            </w:pPr>
            <w:bookmarkStart w:id="0" w:name="_GoBack"/>
            <w:bookmarkEnd w:id="0"/>
            <w:r>
              <w:rPr>
                <w:rFonts w:ascii="Arial" w:hAnsi="Arial" w:hint="cs"/>
                <w:b/>
                <w:bCs/>
                <w:sz w:val="26"/>
                <w:szCs w:val="26"/>
                <w:rtl/>
              </w:rPr>
              <w:t>בפני הרכב כבוד השופטים:</w:t>
            </w:r>
          </w:p>
          <w:p w:rsidR="00250325" w:rsidRDefault="009829C1">
            <w:pPr>
              <w:suppressLineNumbers/>
              <w:jc w:val="both"/>
              <w:rPr>
                <w:rFonts w:ascii="Arial" w:hAnsi="Arial"/>
                <w:b/>
                <w:bCs/>
                <w:sz w:val="26"/>
                <w:szCs w:val="26"/>
                <w:rtl/>
              </w:rPr>
            </w:pPr>
          </w:p>
          <w:p w:rsidR="00250325" w:rsidRDefault="006D4858">
            <w:pPr>
              <w:suppressLineNumbers/>
              <w:jc w:val="both"/>
              <w:rPr>
                <w:rFonts w:ascii="Arial" w:hAnsi="Arial"/>
                <w:b/>
                <w:bCs/>
                <w:sz w:val="26"/>
                <w:szCs w:val="26"/>
                <w:rtl/>
              </w:rPr>
            </w:pPr>
            <w:r>
              <w:rPr>
                <w:rFonts w:ascii="Arial" w:hAnsi="Arial" w:hint="cs"/>
                <w:b/>
                <w:bCs/>
                <w:sz w:val="26"/>
                <w:szCs w:val="26"/>
                <w:rtl/>
              </w:rPr>
              <w:t>סארי ג'יוסי [אב"ד]</w:t>
            </w:r>
          </w:p>
          <w:p w:rsidR="00C26613" w:rsidRDefault="00C26613">
            <w:pPr>
              <w:suppressLineNumbers/>
              <w:jc w:val="both"/>
              <w:rPr>
                <w:rFonts w:ascii="Arial" w:hAnsi="Arial"/>
                <w:b/>
                <w:bCs/>
                <w:sz w:val="26"/>
                <w:szCs w:val="26"/>
              </w:rPr>
            </w:pPr>
            <w:r>
              <w:rPr>
                <w:rFonts w:ascii="Arial" w:hAnsi="Arial" w:hint="cs"/>
                <w:b/>
                <w:bCs/>
                <w:sz w:val="26"/>
                <w:szCs w:val="26"/>
                <w:rtl/>
              </w:rPr>
              <w:t>עפרה ורבנר</w:t>
            </w:r>
          </w:p>
          <w:p w:rsidR="00250325" w:rsidRDefault="006D4858" w:rsidP="00C26613">
            <w:pPr>
              <w:suppressLineNumbers/>
              <w:jc w:val="both"/>
              <w:rPr>
                <w:rFonts w:ascii="Arial" w:hAnsi="Arial"/>
                <w:b/>
                <w:bCs/>
                <w:sz w:val="26"/>
                <w:szCs w:val="26"/>
                <w:rtl/>
              </w:rPr>
            </w:pPr>
            <w:r>
              <w:rPr>
                <w:rFonts w:ascii="Arial" w:hAnsi="Arial" w:hint="cs"/>
                <w:b/>
                <w:bCs/>
                <w:sz w:val="26"/>
                <w:szCs w:val="26"/>
                <w:rtl/>
              </w:rPr>
              <w:t>עפרה אטיאס</w:t>
            </w:r>
          </w:p>
        </w:tc>
      </w:tr>
    </w:tbl>
    <w:tbl>
      <w:tblPr>
        <w:tblStyle w:val="a9"/>
        <w:bidiVisual/>
        <w:tblW w:w="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250325" w:rsidTr="00250325">
        <w:tc>
          <w:tcPr>
            <w:tcW w:w="3246" w:type="dxa"/>
          </w:tcPr>
          <w:p w:rsidR="00250325" w:rsidRDefault="009829C1">
            <w:pPr>
              <w:suppressLineNumbers/>
              <w:rPr>
                <w:rFonts w:ascii="David" w:eastAsia="David" w:hAnsi="David"/>
                <w:b/>
                <w:bCs/>
                <w:rtl/>
              </w:rPr>
            </w:pPr>
          </w:p>
          <w:p w:rsidR="00250325" w:rsidRDefault="006D4858" w:rsidP="003A7E7F">
            <w:pPr>
              <w:suppressLineNumbers/>
              <w:rPr>
                <w:rFonts w:ascii="David" w:eastAsia="David" w:hAnsi="David"/>
                <w:b/>
                <w:bCs/>
                <w:rtl/>
              </w:rPr>
            </w:pPr>
            <w:r w:rsidRPr="003A7E7F">
              <w:rPr>
                <w:rFonts w:ascii="David" w:eastAsia="David" w:hAnsi="David" w:hint="cs"/>
                <w:b/>
                <w:bCs/>
                <w:u w:val="single"/>
                <w:rtl/>
              </w:rPr>
              <w:t>ה</w:t>
            </w:r>
            <w:sdt>
              <w:sdtPr>
                <w:rPr>
                  <w:b/>
                  <w:bCs/>
                  <w:u w:val="single"/>
                  <w:rtl/>
                </w:rPr>
                <w:alias w:val="1264"/>
                <w:tag w:val="1264"/>
                <w:id w:val="748628538"/>
                <w:placeholder>
                  <w:docPart w:val="A52C4E85719442FFB2EC8DD7DE5FFF40"/>
                </w:placeholder>
                <w:text w:multiLine="1"/>
              </w:sdtPr>
              <w:sdtEndPr/>
              <w:sdtContent>
                <w:r w:rsidRPr="003A7E7F">
                  <w:rPr>
                    <w:rFonts w:ascii="David" w:eastAsia="David" w:hAnsi="David"/>
                    <w:b/>
                    <w:bCs/>
                    <w:u w:val="single"/>
                    <w:rtl/>
                  </w:rPr>
                  <w:t>מערער</w:t>
                </w:r>
              </w:sdtContent>
            </w:sdt>
          </w:p>
        </w:tc>
        <w:tc>
          <w:tcPr>
            <w:tcW w:w="5734" w:type="dxa"/>
          </w:tcPr>
          <w:p w:rsidR="00250325" w:rsidRDefault="009829C1">
            <w:pPr>
              <w:suppressLineNumbers/>
              <w:rPr>
                <w:b/>
                <w:bCs/>
                <w:rtl/>
              </w:rPr>
            </w:pPr>
          </w:p>
          <w:p w:rsidR="00250325" w:rsidRDefault="001209B4" w:rsidP="001209B4">
            <w:pPr>
              <w:suppressLineNumbers/>
              <w:rPr>
                <w:rtl/>
              </w:rPr>
            </w:pPr>
            <w:r>
              <w:rPr>
                <w:rFonts w:ascii="David" w:eastAsia="David" w:hAnsi="David" w:hint="cs"/>
                <w:b/>
                <w:bCs/>
                <w:rtl/>
              </w:rPr>
              <w:t xml:space="preserve"> ב' א'</w:t>
            </w:r>
            <w:r w:rsidR="006D4858">
              <w:rPr>
                <w:rFonts w:hint="cs"/>
                <w:b/>
                <w:bCs/>
                <w:rtl/>
              </w:rPr>
              <w:t xml:space="preserve"> </w:t>
            </w:r>
            <w:sdt>
              <w:sdtPr>
                <w:rPr>
                  <w:b/>
                  <w:bCs/>
                  <w:rtl/>
                </w:rPr>
                <w:alias w:val="2688"/>
                <w:tag w:val="2688"/>
                <w:id w:val="-1957249425"/>
                <w:placeholder>
                  <w:docPart w:val="4DC8B8E572A54834BA9A42F34ADD6B8D"/>
                </w:placeholder>
                <w:text w:multiLine="1"/>
              </w:sdtPr>
              <w:sdtEndPr/>
              <w:sdtContent>
                <w:r w:rsidR="00B73504">
                  <w:rPr>
                    <w:b/>
                    <w:bCs/>
                    <w:rtl/>
                  </w:rPr>
                  <w:br/>
                </w:r>
                <w:r w:rsidR="00B73504">
                  <w:rPr>
                    <w:rFonts w:hint="cs"/>
                    <w:b/>
                    <w:bCs/>
                    <w:rtl/>
                  </w:rPr>
                  <w:t xml:space="preserve"> ע"י ב"כ עוה"ד מ. ברקוביץ</w:t>
                </w:r>
              </w:sdtContent>
            </w:sdt>
          </w:p>
          <w:p w:rsidR="00250325" w:rsidRDefault="009829C1">
            <w:pPr>
              <w:suppressLineNumbers/>
              <w:rPr>
                <w:rFonts w:ascii="David" w:eastAsia="David" w:hAnsi="David"/>
                <w:b/>
                <w:bCs/>
              </w:rPr>
            </w:pPr>
          </w:p>
        </w:tc>
      </w:tr>
      <w:tr w:rsidR="00250325" w:rsidTr="00250325">
        <w:tc>
          <w:tcPr>
            <w:tcW w:w="8980" w:type="dxa"/>
            <w:gridSpan w:val="2"/>
          </w:tcPr>
          <w:p w:rsidR="00250325" w:rsidRDefault="009829C1">
            <w:pPr>
              <w:suppressLineNumbers/>
              <w:rPr>
                <w:rFonts w:ascii="David" w:eastAsia="David" w:hAnsi="David"/>
                <w:b/>
                <w:bCs/>
                <w:rtl/>
              </w:rPr>
            </w:pPr>
          </w:p>
          <w:p w:rsidR="00250325" w:rsidRDefault="006D4858">
            <w:pPr>
              <w:suppressLineNumbers/>
              <w:jc w:val="center"/>
              <w:rPr>
                <w:rFonts w:ascii="David" w:eastAsia="David" w:hAnsi="David"/>
                <w:b/>
                <w:bCs/>
                <w:rtl/>
              </w:rPr>
            </w:pPr>
            <w:r>
              <w:rPr>
                <w:rFonts w:ascii="David" w:eastAsia="David" w:hAnsi="David" w:hint="cs"/>
                <w:b/>
                <w:bCs/>
                <w:rtl/>
              </w:rPr>
              <w:t>נגד</w:t>
            </w:r>
          </w:p>
          <w:p w:rsidR="00250325" w:rsidRDefault="009829C1">
            <w:pPr>
              <w:suppressLineNumbers/>
              <w:rPr>
                <w:rFonts w:ascii="David" w:eastAsia="David" w:hAnsi="David"/>
                <w:b/>
                <w:bCs/>
                <w:rtl/>
              </w:rPr>
            </w:pPr>
          </w:p>
        </w:tc>
      </w:tr>
      <w:tr w:rsidR="00250325" w:rsidTr="00250325">
        <w:trPr>
          <w:trHeight w:val="740"/>
        </w:trPr>
        <w:tc>
          <w:tcPr>
            <w:tcW w:w="3246" w:type="dxa"/>
            <w:hideMark/>
          </w:tcPr>
          <w:p w:rsidR="00250325" w:rsidRDefault="006D4858">
            <w:pPr>
              <w:suppressLineNumbers/>
              <w:rPr>
                <w:rFonts w:ascii="David" w:eastAsia="David" w:hAnsi="David"/>
                <w:b/>
                <w:bCs/>
                <w:rtl/>
              </w:rPr>
            </w:pPr>
            <w:r w:rsidRPr="003A7E7F">
              <w:rPr>
                <w:rFonts w:ascii="David" w:eastAsia="David" w:hAnsi="David" w:hint="cs"/>
                <w:b/>
                <w:bCs/>
                <w:u w:val="single"/>
                <w:rtl/>
              </w:rPr>
              <w:t>המשיבה</w:t>
            </w:r>
            <w:sdt>
              <w:sdtPr>
                <w:rPr>
                  <w:b/>
                  <w:bCs/>
                  <w:rtl/>
                </w:rPr>
                <w:alias w:val="1265"/>
                <w:tag w:val="1265"/>
                <w:id w:val="15438151"/>
                <w:placeholder>
                  <w:docPart w:val="57A7590BD4024795936983D25FF3CBD2"/>
                </w:placeholder>
                <w:showingPlcHdr/>
                <w:text/>
              </w:sdtPr>
              <w:sdtEndPr/>
              <w:sdtContent>
                <w:r>
                  <w:rPr>
                    <w:b/>
                    <w:bCs/>
                    <w:rtl/>
                  </w:rPr>
                  <w:t xml:space="preserve">     </w:t>
                </w:r>
              </w:sdtContent>
            </w:sdt>
          </w:p>
        </w:tc>
        <w:tc>
          <w:tcPr>
            <w:tcW w:w="5734" w:type="dxa"/>
            <w:hideMark/>
          </w:tcPr>
          <w:p w:rsidR="001209B4" w:rsidRDefault="001209B4" w:rsidP="00B73504">
            <w:pPr>
              <w:rPr>
                <w:rFonts w:ascii="David" w:eastAsia="David" w:hAnsi="David"/>
                <w:b/>
                <w:bCs/>
                <w:rtl/>
              </w:rPr>
            </w:pPr>
            <w:r>
              <w:rPr>
                <w:rFonts w:ascii="David" w:eastAsia="David" w:hAnsi="David" w:hint="cs"/>
                <w:b/>
                <w:bCs/>
                <w:rtl/>
              </w:rPr>
              <w:t>ד' א'</w:t>
            </w:r>
          </w:p>
          <w:p w:rsidR="00250325" w:rsidRPr="00B73504" w:rsidRDefault="00B73504" w:rsidP="00B73504">
            <w:pPr>
              <w:rPr>
                <w:b/>
                <w:bCs/>
                <w:rtl/>
              </w:rPr>
            </w:pPr>
            <w:r w:rsidRPr="00B73504">
              <w:rPr>
                <w:rFonts w:hint="cs"/>
                <w:b/>
                <w:bCs/>
                <w:rtl/>
              </w:rPr>
              <w:t>ע"י ב"</w:t>
            </w:r>
            <w:r>
              <w:rPr>
                <w:rFonts w:hint="cs"/>
                <w:b/>
                <w:bCs/>
                <w:rtl/>
              </w:rPr>
              <w:t>כ עו</w:t>
            </w:r>
            <w:r w:rsidRPr="00B73504">
              <w:rPr>
                <w:rFonts w:hint="cs"/>
                <w:b/>
                <w:bCs/>
                <w:rtl/>
              </w:rPr>
              <w:t>ה"ד ס. אלון</w:t>
            </w:r>
          </w:p>
        </w:tc>
      </w:tr>
    </w:tbl>
    <w:p w:rsidR="00250325" w:rsidRPr="00B73504" w:rsidRDefault="009829C1" w:rsidP="00250325">
      <w:pPr>
        <w:jc w:val="both"/>
        <w:rPr>
          <w:rFonts w:ascii="Arial" w:eastAsia="David" w:hAnsi="Arial"/>
          <w:b/>
          <w:bCs/>
          <w:rtl/>
        </w:rPr>
      </w:pPr>
    </w:p>
    <w:p w:rsidR="00250325" w:rsidRDefault="006D4858" w:rsidP="00250325">
      <w:pPr>
        <w:spacing w:line="360" w:lineRule="auto"/>
        <w:jc w:val="both"/>
        <w:rPr>
          <w:rFonts w:ascii="David" w:hAnsi="David"/>
          <w:rtl/>
        </w:rPr>
      </w:pPr>
      <w:r>
        <w:rPr>
          <w:rFonts w:hint="cs"/>
          <w:rtl/>
        </w:rPr>
        <w:t>ערעור על פסק דינו של בית משפט לענייני משפחה בקריות (כב' השופט ניר זיתוני) מיום 10.7.2022 בתיק תמ"ש 14645-12-20</w:t>
      </w:r>
    </w:p>
    <w:p w:rsidR="001434F7" w:rsidRDefault="009829C1"/>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C26613" w:rsidRPr="00B02B6C" w:rsidRDefault="00B02B6C" w:rsidP="00C26613">
      <w:pPr>
        <w:spacing w:line="360" w:lineRule="auto"/>
        <w:jc w:val="both"/>
        <w:rPr>
          <w:rFonts w:ascii="Arial" w:hAnsi="Arial"/>
          <w:b/>
          <w:bCs/>
          <w:noProof w:val="0"/>
          <w:u w:val="single"/>
          <w:rtl/>
        </w:rPr>
      </w:pPr>
      <w:bookmarkStart w:id="1" w:name="NGCSBookmark"/>
      <w:bookmarkEnd w:id="1"/>
      <w:r w:rsidRPr="00B02B6C">
        <w:rPr>
          <w:rFonts w:ascii="Arial" w:hAnsi="Arial" w:hint="cs"/>
          <w:b/>
          <w:bCs/>
          <w:noProof w:val="0"/>
          <w:u w:val="single"/>
          <w:rtl/>
        </w:rPr>
        <w:t>השופט ס. ג'יוסי [אב"ד]:</w:t>
      </w:r>
    </w:p>
    <w:p w:rsidR="00C26613" w:rsidRDefault="00C26613" w:rsidP="00C26613">
      <w:pPr>
        <w:spacing w:line="360" w:lineRule="auto"/>
        <w:jc w:val="both"/>
        <w:rPr>
          <w:rFonts w:ascii="David" w:hAnsi="David"/>
          <w:rtl/>
        </w:rPr>
      </w:pPr>
      <w:r>
        <w:rPr>
          <w:rFonts w:ascii="David" w:hAnsi="David"/>
          <w:rtl/>
        </w:rPr>
        <w:t>ערעור על פסק דינו של בית משפט לענייני משפחה בקריות (כב' השופט ניר זיתוני) מיום  1</w:t>
      </w:r>
      <w:r w:rsidR="00B73504">
        <w:rPr>
          <w:rFonts w:ascii="David" w:hAnsi="David"/>
          <w:rtl/>
        </w:rPr>
        <w:t>0.07.2022 בתיק תמ"ש 41645-12-20</w:t>
      </w:r>
      <w:r w:rsidR="00B73504">
        <w:rPr>
          <w:rFonts w:ascii="David" w:hAnsi="David" w:hint="cs"/>
          <w:rtl/>
        </w:rPr>
        <w:t xml:space="preserve"> במסגרתו קיבל את תביעת המשיב</w:t>
      </w:r>
      <w:r w:rsidR="001209B4">
        <w:rPr>
          <w:rFonts w:ascii="David" w:hAnsi="David" w:hint="cs"/>
          <w:rtl/>
        </w:rPr>
        <w:t>ה</w:t>
      </w:r>
      <w:r w:rsidR="00B73504">
        <w:rPr>
          <w:rFonts w:ascii="David" w:hAnsi="David" w:hint="cs"/>
          <w:rtl/>
        </w:rPr>
        <w:t xml:space="preserve"> כנגד המערער וקבע כי היא זכאית לחלק מהפנסיה של המערער החל ממועד פרישתו בפועל ביום 29.02.2020.</w:t>
      </w:r>
      <w:r w:rsidR="0081085E">
        <w:rPr>
          <w:rFonts w:ascii="David" w:hAnsi="David" w:hint="cs"/>
          <w:rtl/>
        </w:rPr>
        <w:t xml:space="preserve"> ע</w:t>
      </w:r>
      <w:r w:rsidR="00373521">
        <w:rPr>
          <w:rFonts w:ascii="David" w:hAnsi="David" w:hint="cs"/>
          <w:rtl/>
        </w:rPr>
        <w:t xml:space="preserve">וד </w:t>
      </w:r>
      <w:r w:rsidR="0081085E">
        <w:rPr>
          <w:rFonts w:ascii="David" w:hAnsi="David" w:hint="cs"/>
          <w:rtl/>
        </w:rPr>
        <w:t>קבע כי המערער יצא לפנסיה מוקדמת מרצון.</w:t>
      </w:r>
    </w:p>
    <w:p w:rsidR="00B73504" w:rsidRDefault="00B73504" w:rsidP="00C26613">
      <w:pPr>
        <w:spacing w:line="360" w:lineRule="auto"/>
        <w:jc w:val="both"/>
        <w:rPr>
          <w:rFonts w:ascii="David" w:hAnsi="David"/>
          <w:rtl/>
        </w:rPr>
      </w:pPr>
    </w:p>
    <w:p w:rsidR="00C26613" w:rsidRDefault="00C26613" w:rsidP="00C26613">
      <w:pPr>
        <w:spacing w:line="360" w:lineRule="auto"/>
        <w:jc w:val="both"/>
        <w:rPr>
          <w:rFonts w:ascii="David" w:hAnsi="David"/>
          <w:b/>
          <w:bCs/>
          <w:u w:val="single"/>
          <w:rtl/>
        </w:rPr>
      </w:pPr>
      <w:r>
        <w:rPr>
          <w:rFonts w:ascii="David" w:hAnsi="David"/>
          <w:b/>
          <w:bCs/>
          <w:u w:val="single"/>
          <w:rtl/>
        </w:rPr>
        <w:t>העובדות הצריכות לענייננו:</w:t>
      </w:r>
    </w:p>
    <w:p w:rsidR="00B73504" w:rsidRPr="0081085E" w:rsidRDefault="00C26613" w:rsidP="001209B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המערער והמשיבה נישאו </w:t>
      </w:r>
      <w:r w:rsidR="00B73504">
        <w:rPr>
          <w:rFonts w:ascii="David" w:hAnsi="David" w:cs="David" w:hint="cs"/>
          <w:sz w:val="24"/>
          <w:szCs w:val="24"/>
          <w:rtl/>
        </w:rPr>
        <w:t xml:space="preserve">זל"ז </w:t>
      </w:r>
      <w:r>
        <w:rPr>
          <w:rFonts w:ascii="David" w:hAnsi="David" w:cs="David"/>
          <w:sz w:val="24"/>
          <w:szCs w:val="24"/>
          <w:rtl/>
        </w:rPr>
        <w:t>ביום 18.</w:t>
      </w:r>
      <w:r w:rsidR="00B73504">
        <w:rPr>
          <w:rFonts w:ascii="David" w:hAnsi="David" w:cs="David"/>
          <w:sz w:val="24"/>
          <w:szCs w:val="24"/>
          <w:rtl/>
        </w:rPr>
        <w:t>11.1981 והתגרשו ביום 12.07.2009</w:t>
      </w:r>
      <w:r w:rsidR="00B73504">
        <w:rPr>
          <w:rFonts w:ascii="David" w:hAnsi="David" w:cs="David" w:hint="cs"/>
          <w:sz w:val="24"/>
          <w:szCs w:val="24"/>
          <w:rtl/>
        </w:rPr>
        <w:t>, לאחר שב-2003 ערכו הסכם גירושין שאושר וקיבל תוקף של פסק דין במסגרת תמ"ש 9723/03 בבית משפט לענ</w:t>
      </w:r>
      <w:r w:rsidR="0081085E">
        <w:rPr>
          <w:rFonts w:ascii="David" w:hAnsi="David" w:cs="David" w:hint="cs"/>
          <w:sz w:val="24"/>
          <w:szCs w:val="24"/>
          <w:rtl/>
        </w:rPr>
        <w:t xml:space="preserve">יני משפחה בקריות ובו נקבע, כי </w:t>
      </w:r>
      <w:r w:rsidR="00B73504" w:rsidRPr="0081085E">
        <w:rPr>
          <w:rFonts w:ascii="David" w:hAnsi="David" w:cs="David" w:hint="cs"/>
          <w:sz w:val="24"/>
          <w:szCs w:val="24"/>
          <w:rtl/>
        </w:rPr>
        <w:t>מועד הקרע לצורך חישוב זכויותיהם הרכושיות ואיזון המשאבים חל ביום 31.10.2003</w:t>
      </w:r>
      <w:r w:rsidR="0081085E">
        <w:rPr>
          <w:rFonts w:ascii="David" w:hAnsi="David" w:cs="David" w:hint="cs"/>
          <w:sz w:val="24"/>
          <w:szCs w:val="24"/>
          <w:rtl/>
        </w:rPr>
        <w:t xml:space="preserve"> (להלן: </w:t>
      </w:r>
      <w:r w:rsidR="0081085E" w:rsidRPr="0081085E">
        <w:rPr>
          <w:rFonts w:ascii="David" w:hAnsi="David" w:cs="David" w:hint="cs"/>
          <w:b/>
          <w:bCs/>
          <w:sz w:val="24"/>
          <w:szCs w:val="24"/>
          <w:rtl/>
        </w:rPr>
        <w:t>"הסכם הגירושין"</w:t>
      </w:r>
      <w:r w:rsidR="0081085E">
        <w:rPr>
          <w:rFonts w:ascii="David" w:hAnsi="David" w:cs="David" w:hint="cs"/>
          <w:sz w:val="24"/>
          <w:szCs w:val="24"/>
          <w:rtl/>
        </w:rPr>
        <w:t>)</w:t>
      </w:r>
      <w:r w:rsidR="00B73504" w:rsidRPr="0081085E">
        <w:rPr>
          <w:rFonts w:ascii="David" w:hAnsi="David" w:cs="David" w:hint="cs"/>
          <w:sz w:val="24"/>
          <w:szCs w:val="24"/>
          <w:rtl/>
        </w:rPr>
        <w:t>. ב</w:t>
      </w:r>
      <w:r w:rsidR="0081085E">
        <w:rPr>
          <w:rFonts w:ascii="David" w:hAnsi="David" w:cs="David" w:hint="cs"/>
          <w:sz w:val="24"/>
          <w:szCs w:val="24"/>
          <w:rtl/>
        </w:rPr>
        <w:t>התאם להסכם הגירושין</w:t>
      </w:r>
      <w:r w:rsidR="00B73504" w:rsidRPr="0081085E">
        <w:rPr>
          <w:rFonts w:ascii="David" w:hAnsi="David" w:cs="David" w:hint="cs"/>
          <w:sz w:val="24"/>
          <w:szCs w:val="24"/>
          <w:rtl/>
        </w:rPr>
        <w:t xml:space="preserve"> ניתנו בהסכמה צוי עיקול </w:t>
      </w:r>
      <w:r w:rsidR="001209B4">
        <w:rPr>
          <w:rFonts w:ascii="David" w:hAnsi="David" w:cs="David" w:hint="cs"/>
          <w:sz w:val="24"/>
          <w:szCs w:val="24"/>
          <w:rtl/>
        </w:rPr>
        <w:t xml:space="preserve">על מחצית מכלל זכויות המערער ב-" ג' </w:t>
      </w:r>
      <w:r w:rsidR="00B73504" w:rsidRPr="0081085E">
        <w:rPr>
          <w:rFonts w:ascii="David" w:hAnsi="David" w:cs="David" w:hint="cs"/>
          <w:sz w:val="24"/>
          <w:szCs w:val="24"/>
          <w:rtl/>
        </w:rPr>
        <w:t>קרן הפנסיה" ובקופ"ג "ח</w:t>
      </w:r>
      <w:r w:rsidR="001209B4">
        <w:rPr>
          <w:rFonts w:ascii="David" w:hAnsi="David" w:cs="David" w:hint="cs"/>
          <w:sz w:val="24"/>
          <w:szCs w:val="24"/>
          <w:rtl/>
        </w:rPr>
        <w:t>'</w:t>
      </w:r>
      <w:r w:rsidR="00B73504" w:rsidRPr="0081085E">
        <w:rPr>
          <w:rFonts w:ascii="David" w:hAnsi="David" w:cs="David" w:hint="cs"/>
          <w:sz w:val="24"/>
          <w:szCs w:val="24"/>
          <w:rtl/>
        </w:rPr>
        <w:t>" וכן על מחצית זכויותיו מכל סוג שהוא כולל כספים, פנסיה, קופ"ג, כספי פרישה, פדיון ימי מחלה ו/או חופשה אשר נצברו לטובתו עד יום 31.12.07 ו/או בגין התקופה עד לאותו תאריך והמופקדות או מגיעות לו ממקום עבודתו.</w:t>
      </w:r>
    </w:p>
    <w:p w:rsidR="00893E93" w:rsidRPr="00B73504" w:rsidRDefault="00893E93" w:rsidP="00893E93">
      <w:pPr>
        <w:pStyle w:val="ad"/>
        <w:spacing w:line="360" w:lineRule="auto"/>
        <w:jc w:val="both"/>
        <w:rPr>
          <w:rFonts w:ascii="David" w:hAnsi="David" w:cs="David"/>
          <w:sz w:val="24"/>
          <w:szCs w:val="24"/>
        </w:rPr>
      </w:pPr>
    </w:p>
    <w:p w:rsidR="00B73504" w:rsidRDefault="004465B6" w:rsidP="004465B6">
      <w:pPr>
        <w:pStyle w:val="ad"/>
        <w:numPr>
          <w:ilvl w:val="0"/>
          <w:numId w:val="1"/>
        </w:numPr>
        <w:spacing w:line="360" w:lineRule="auto"/>
        <w:jc w:val="both"/>
        <w:rPr>
          <w:rFonts w:ascii="David" w:hAnsi="David" w:cs="David"/>
          <w:sz w:val="24"/>
          <w:szCs w:val="24"/>
        </w:rPr>
      </w:pPr>
      <w:r>
        <w:rPr>
          <w:rFonts w:ascii="David" w:hAnsi="David" w:cs="David" w:hint="cs"/>
          <w:sz w:val="24"/>
          <w:szCs w:val="24"/>
          <w:rtl/>
        </w:rPr>
        <w:lastRenderedPageBreak/>
        <w:t xml:space="preserve">סע' 1 להסכם הגירושין עוסק באיזון משאבי בני הזוג לרבות בעת פרישת המערער מעבודתו. </w:t>
      </w:r>
      <w:r w:rsidR="00B73504">
        <w:rPr>
          <w:rFonts w:ascii="David" w:hAnsi="David" w:cs="David" w:hint="cs"/>
          <w:sz w:val="24"/>
          <w:szCs w:val="24"/>
          <w:rtl/>
        </w:rPr>
        <w:t xml:space="preserve">למען </w:t>
      </w:r>
      <w:r w:rsidR="0081085E">
        <w:rPr>
          <w:rFonts w:ascii="David" w:hAnsi="David" w:cs="David" w:hint="cs"/>
          <w:sz w:val="24"/>
          <w:szCs w:val="24"/>
          <w:rtl/>
        </w:rPr>
        <w:t xml:space="preserve">שלמות התמונה </w:t>
      </w:r>
      <w:r>
        <w:rPr>
          <w:rFonts w:ascii="David" w:hAnsi="David" w:cs="David" w:hint="cs"/>
          <w:sz w:val="24"/>
          <w:szCs w:val="24"/>
          <w:rtl/>
        </w:rPr>
        <w:t xml:space="preserve"> ולאור </w:t>
      </w:r>
      <w:r w:rsidR="00B73504">
        <w:rPr>
          <w:rFonts w:ascii="David" w:hAnsi="David" w:cs="David" w:hint="cs"/>
          <w:sz w:val="24"/>
          <w:szCs w:val="24"/>
          <w:rtl/>
        </w:rPr>
        <w:t xml:space="preserve">טענות המערער </w:t>
      </w:r>
      <w:r w:rsidR="00893E93">
        <w:rPr>
          <w:rFonts w:ascii="David" w:hAnsi="David" w:cs="David" w:hint="cs"/>
          <w:sz w:val="24"/>
          <w:szCs w:val="24"/>
          <w:rtl/>
        </w:rPr>
        <w:t>בדבר הפרשנות הנכונה לאמור בהוראה זו</w:t>
      </w:r>
      <w:r>
        <w:rPr>
          <w:rFonts w:ascii="David" w:hAnsi="David" w:cs="David" w:hint="cs"/>
          <w:sz w:val="24"/>
          <w:szCs w:val="24"/>
          <w:rtl/>
        </w:rPr>
        <w:t>, להלן החלק הרלוונטי בהוראות ההסכם:</w:t>
      </w:r>
    </w:p>
    <w:p w:rsidR="00B73504" w:rsidRPr="00B73504" w:rsidRDefault="00B73504" w:rsidP="00B73504">
      <w:pPr>
        <w:pStyle w:val="ad"/>
        <w:spacing w:line="360" w:lineRule="auto"/>
        <w:jc w:val="both"/>
        <w:rPr>
          <w:rFonts w:ascii="David" w:hAnsi="David" w:cs="David"/>
          <w:b/>
          <w:bCs/>
          <w:sz w:val="24"/>
          <w:szCs w:val="24"/>
          <w:rtl/>
        </w:rPr>
      </w:pPr>
      <w:r>
        <w:rPr>
          <w:rFonts w:ascii="David" w:hAnsi="David" w:cs="David" w:hint="cs"/>
          <w:sz w:val="24"/>
          <w:szCs w:val="24"/>
          <w:rtl/>
        </w:rPr>
        <w:t>"</w:t>
      </w:r>
      <w:r w:rsidRPr="00B73504">
        <w:rPr>
          <w:rFonts w:ascii="David" w:hAnsi="David" w:cs="David" w:hint="cs"/>
          <w:sz w:val="24"/>
          <w:szCs w:val="24"/>
          <w:rtl/>
        </w:rPr>
        <w:t xml:space="preserve">  </w:t>
      </w:r>
      <w:r w:rsidRPr="00B73504">
        <w:rPr>
          <w:rFonts w:ascii="David" w:hAnsi="David" w:cs="David" w:hint="cs"/>
          <w:b/>
          <w:bCs/>
          <w:sz w:val="24"/>
          <w:szCs w:val="24"/>
          <w:rtl/>
        </w:rPr>
        <w:t>1. ....מוסכם על הצדדים שאיזון משאביהם יבוצע באופן הבא:</w:t>
      </w:r>
    </w:p>
    <w:p w:rsidR="00B73504" w:rsidRPr="00B73504" w:rsidRDefault="00B73504" w:rsidP="00B73504">
      <w:pPr>
        <w:pStyle w:val="ad"/>
        <w:numPr>
          <w:ilvl w:val="0"/>
          <w:numId w:val="5"/>
        </w:numPr>
        <w:spacing w:line="360" w:lineRule="auto"/>
        <w:jc w:val="both"/>
        <w:rPr>
          <w:rFonts w:ascii="David" w:hAnsi="David" w:cs="David"/>
          <w:b/>
          <w:bCs/>
          <w:sz w:val="24"/>
          <w:szCs w:val="24"/>
        </w:rPr>
      </w:pPr>
      <w:r w:rsidRPr="00B73504">
        <w:rPr>
          <w:rFonts w:ascii="David" w:hAnsi="David" w:cs="David" w:hint="cs"/>
          <w:b/>
          <w:bCs/>
          <w:sz w:val="24"/>
          <w:szCs w:val="24"/>
          <w:rtl/>
        </w:rPr>
        <w:t>הבעל ישלם לאשה סכום חד פעמי של 44,887 ₪  נכון ליום  28.04.2008.....</w:t>
      </w:r>
    </w:p>
    <w:p w:rsidR="00B73504" w:rsidRPr="00B73504" w:rsidRDefault="00B73504" w:rsidP="00B73504">
      <w:pPr>
        <w:pStyle w:val="ad"/>
        <w:numPr>
          <w:ilvl w:val="0"/>
          <w:numId w:val="5"/>
        </w:numPr>
        <w:spacing w:line="360" w:lineRule="auto"/>
        <w:jc w:val="both"/>
        <w:rPr>
          <w:rFonts w:ascii="David" w:hAnsi="David" w:cs="David"/>
          <w:b/>
          <w:bCs/>
          <w:sz w:val="24"/>
          <w:szCs w:val="24"/>
        </w:rPr>
      </w:pPr>
      <w:r w:rsidRPr="00B73504">
        <w:rPr>
          <w:rFonts w:ascii="David" w:hAnsi="David" w:cs="David" w:hint="cs"/>
          <w:b/>
          <w:bCs/>
          <w:sz w:val="24"/>
          <w:szCs w:val="24"/>
          <w:rtl/>
        </w:rPr>
        <w:t>עם פרישת הבעל מעבודתו ישלם הבעל לאשה סכום חד פעמי של 113,801 ₪ בתוספת הפרשי הצמדה למדד המחירים לצרכן וריבית צמודה של 3.5% לשנה.</w:t>
      </w:r>
    </w:p>
    <w:p w:rsidR="00B73504" w:rsidRDefault="00B73504" w:rsidP="00B73504">
      <w:pPr>
        <w:pStyle w:val="ad"/>
        <w:numPr>
          <w:ilvl w:val="0"/>
          <w:numId w:val="5"/>
        </w:numPr>
        <w:spacing w:line="360" w:lineRule="auto"/>
        <w:jc w:val="both"/>
        <w:rPr>
          <w:rFonts w:ascii="David" w:hAnsi="David" w:cs="David"/>
          <w:sz w:val="24"/>
          <w:szCs w:val="24"/>
        </w:rPr>
      </w:pPr>
      <w:r w:rsidRPr="00B73504">
        <w:rPr>
          <w:rFonts w:ascii="David" w:hAnsi="David" w:cs="David" w:hint="cs"/>
          <w:b/>
          <w:bCs/>
          <w:sz w:val="24"/>
          <w:szCs w:val="24"/>
          <w:rtl/>
        </w:rPr>
        <w:t>עם פרישת הבעל לגמלאות הוא ישלם לאשה מידי חודש בחודשו סך של 1,196 ₪ וזאת עד אריכות ימים, סכום זה יוצמד לשכר הממוצע במשק מיום 7.11.04 ועד ליום פרישת הבעל לגמלאות, ומיום זה יוצמד למדד המחירים לצרכן והעדכון יבוצע בעת תשלום תוספת היוקר".</w:t>
      </w:r>
    </w:p>
    <w:p w:rsidR="00B73504" w:rsidRPr="00B73504" w:rsidRDefault="00B73504" w:rsidP="00B73504">
      <w:pPr>
        <w:pStyle w:val="ad"/>
        <w:spacing w:line="360" w:lineRule="auto"/>
        <w:ind w:left="1800"/>
        <w:jc w:val="both"/>
        <w:rPr>
          <w:rFonts w:ascii="David" w:hAnsi="David" w:cs="David"/>
          <w:sz w:val="24"/>
          <w:szCs w:val="24"/>
          <w:rtl/>
        </w:rPr>
      </w:pPr>
    </w:p>
    <w:p w:rsidR="00C26613" w:rsidRDefault="00C26613" w:rsidP="001209B4">
      <w:pPr>
        <w:pStyle w:val="ad"/>
        <w:numPr>
          <w:ilvl w:val="0"/>
          <w:numId w:val="1"/>
        </w:numPr>
        <w:spacing w:line="360" w:lineRule="auto"/>
        <w:jc w:val="both"/>
        <w:rPr>
          <w:rFonts w:ascii="David" w:hAnsi="David" w:cs="David"/>
          <w:sz w:val="24"/>
          <w:szCs w:val="24"/>
        </w:rPr>
      </w:pPr>
      <w:r>
        <w:rPr>
          <w:rFonts w:ascii="David" w:hAnsi="David" w:cs="David"/>
          <w:sz w:val="24"/>
          <w:szCs w:val="24"/>
          <w:rtl/>
        </w:rPr>
        <w:t>בשנת 1984, החל המערער לעב</w:t>
      </w:r>
      <w:r w:rsidR="001209B4">
        <w:rPr>
          <w:rFonts w:ascii="David" w:hAnsi="David" w:cs="David"/>
          <w:sz w:val="24"/>
          <w:szCs w:val="24"/>
          <w:rtl/>
        </w:rPr>
        <w:t>וד ב</w:t>
      </w:r>
      <w:r w:rsidR="001209B4">
        <w:rPr>
          <w:rFonts w:ascii="David" w:hAnsi="David" w:cs="David" w:hint="cs"/>
          <w:sz w:val="24"/>
          <w:szCs w:val="24"/>
          <w:rtl/>
        </w:rPr>
        <w:t>----</w:t>
      </w:r>
      <w:r>
        <w:rPr>
          <w:rFonts w:ascii="David" w:hAnsi="David" w:cs="David"/>
          <w:sz w:val="24"/>
          <w:szCs w:val="24"/>
          <w:rtl/>
        </w:rPr>
        <w:t xml:space="preserve"> כמפעיל </w:t>
      </w:r>
      <w:r w:rsidR="001209B4">
        <w:rPr>
          <w:rFonts w:ascii="David" w:hAnsi="David" w:cs="David" w:hint="cs"/>
          <w:sz w:val="24"/>
          <w:szCs w:val="24"/>
          <w:rtl/>
        </w:rPr>
        <w:t>-----------------</w:t>
      </w:r>
      <w:r>
        <w:rPr>
          <w:rFonts w:ascii="David" w:hAnsi="David" w:cs="David"/>
          <w:sz w:val="24"/>
          <w:szCs w:val="24"/>
          <w:rtl/>
        </w:rPr>
        <w:t>ללא הגבלה.</w:t>
      </w:r>
    </w:p>
    <w:p w:rsidR="00893E93" w:rsidRDefault="00893E93" w:rsidP="00893E93">
      <w:pPr>
        <w:pStyle w:val="ad"/>
        <w:spacing w:line="360" w:lineRule="auto"/>
        <w:jc w:val="both"/>
        <w:rPr>
          <w:rFonts w:ascii="David" w:hAnsi="David" w:cs="David"/>
          <w:sz w:val="24"/>
          <w:szCs w:val="24"/>
        </w:rPr>
      </w:pPr>
    </w:p>
    <w:p w:rsidR="000A078F" w:rsidRPr="00B73504" w:rsidRDefault="00C26613" w:rsidP="001209B4">
      <w:pPr>
        <w:pStyle w:val="ad"/>
        <w:numPr>
          <w:ilvl w:val="0"/>
          <w:numId w:val="1"/>
        </w:numPr>
        <w:spacing w:line="360" w:lineRule="auto"/>
        <w:jc w:val="both"/>
        <w:rPr>
          <w:rFonts w:ascii="David" w:hAnsi="David" w:cs="David"/>
          <w:sz w:val="24"/>
          <w:szCs w:val="24"/>
        </w:rPr>
      </w:pPr>
      <w:r>
        <w:rPr>
          <w:rFonts w:ascii="David" w:hAnsi="David" w:cs="David"/>
          <w:sz w:val="24"/>
          <w:szCs w:val="24"/>
          <w:rtl/>
        </w:rPr>
        <w:t>בשנת 2008, בעקבות החמר</w:t>
      </w:r>
      <w:r>
        <w:rPr>
          <w:rFonts w:ascii="David" w:hAnsi="David" w:cs="David" w:hint="cs"/>
          <w:sz w:val="24"/>
          <w:szCs w:val="24"/>
          <w:rtl/>
        </w:rPr>
        <w:t>ה</w:t>
      </w:r>
      <w:r>
        <w:rPr>
          <w:rFonts w:ascii="David" w:hAnsi="David" w:cs="David"/>
          <w:sz w:val="24"/>
          <w:szCs w:val="24"/>
          <w:rtl/>
        </w:rPr>
        <w:t xml:space="preserve"> </w:t>
      </w:r>
      <w:r>
        <w:rPr>
          <w:rFonts w:ascii="David" w:hAnsi="David" w:cs="David" w:hint="cs"/>
          <w:sz w:val="24"/>
          <w:szCs w:val="24"/>
          <w:rtl/>
        </w:rPr>
        <w:t>ב</w:t>
      </w:r>
      <w:r>
        <w:rPr>
          <w:rFonts w:ascii="David" w:hAnsi="David" w:cs="David"/>
          <w:sz w:val="24"/>
          <w:szCs w:val="24"/>
          <w:rtl/>
        </w:rPr>
        <w:t>מצבו הרפואי</w:t>
      </w:r>
      <w:r>
        <w:rPr>
          <w:rFonts w:ascii="David" w:hAnsi="David" w:cs="David" w:hint="cs"/>
          <w:sz w:val="24"/>
          <w:szCs w:val="24"/>
          <w:rtl/>
        </w:rPr>
        <w:t xml:space="preserve"> של המערער</w:t>
      </w:r>
      <w:r>
        <w:rPr>
          <w:rFonts w:ascii="David" w:hAnsi="David" w:cs="David"/>
          <w:sz w:val="24"/>
          <w:szCs w:val="24"/>
          <w:rtl/>
        </w:rPr>
        <w:t xml:space="preserve">, נקבע ע"י הרופא התעסוקתי של </w:t>
      </w:r>
      <w:r w:rsidR="00B73504">
        <w:rPr>
          <w:rFonts w:ascii="David" w:hAnsi="David" w:cs="David" w:hint="cs"/>
          <w:sz w:val="24"/>
          <w:szCs w:val="24"/>
          <w:rtl/>
        </w:rPr>
        <w:t xml:space="preserve">מעסיקתו </w:t>
      </w:r>
      <w:r w:rsidR="00B73504">
        <w:rPr>
          <w:rFonts w:ascii="David" w:hAnsi="David" w:cs="David"/>
          <w:sz w:val="24"/>
          <w:szCs w:val="24"/>
          <w:rtl/>
        </w:rPr>
        <w:t>–</w:t>
      </w:r>
      <w:r w:rsidR="00B73504">
        <w:rPr>
          <w:rFonts w:ascii="David" w:hAnsi="David" w:cs="David" w:hint="cs"/>
          <w:sz w:val="24"/>
          <w:szCs w:val="24"/>
          <w:rtl/>
        </w:rPr>
        <w:t xml:space="preserve"> חברת </w:t>
      </w:r>
      <w:r w:rsidR="001209B4">
        <w:rPr>
          <w:rFonts w:ascii="David" w:hAnsi="David" w:cs="David" w:hint="cs"/>
          <w:sz w:val="24"/>
          <w:szCs w:val="24"/>
          <w:rtl/>
        </w:rPr>
        <w:t xml:space="preserve">ח' נ' </w:t>
      </w:r>
      <w:r w:rsidR="00B73504">
        <w:rPr>
          <w:rFonts w:ascii="David" w:hAnsi="David" w:cs="David" w:hint="cs"/>
          <w:sz w:val="24"/>
          <w:szCs w:val="24"/>
          <w:rtl/>
        </w:rPr>
        <w:t>בע"מ</w:t>
      </w:r>
      <w:r w:rsidR="0081085E">
        <w:rPr>
          <w:rFonts w:ascii="David" w:hAnsi="David" w:cs="David" w:hint="cs"/>
          <w:sz w:val="24"/>
          <w:szCs w:val="24"/>
          <w:rtl/>
        </w:rPr>
        <w:t xml:space="preserve"> (להלן: </w:t>
      </w:r>
      <w:r w:rsidR="001209B4">
        <w:rPr>
          <w:rFonts w:ascii="David" w:hAnsi="David" w:cs="David" w:hint="cs"/>
          <w:b/>
          <w:bCs/>
          <w:sz w:val="24"/>
          <w:szCs w:val="24"/>
          <w:rtl/>
        </w:rPr>
        <w:t>"ח' נ'</w:t>
      </w:r>
      <w:r w:rsidR="0081085E" w:rsidRPr="0081085E">
        <w:rPr>
          <w:rFonts w:ascii="David" w:hAnsi="David" w:cs="David" w:hint="cs"/>
          <w:b/>
          <w:bCs/>
          <w:sz w:val="24"/>
          <w:szCs w:val="24"/>
          <w:rtl/>
        </w:rPr>
        <w:t>"</w:t>
      </w:r>
      <w:r w:rsidR="0081085E">
        <w:rPr>
          <w:rFonts w:ascii="David" w:hAnsi="David" w:cs="David" w:hint="cs"/>
          <w:sz w:val="24"/>
          <w:szCs w:val="24"/>
          <w:rtl/>
        </w:rPr>
        <w:t>)</w:t>
      </w:r>
      <w:r w:rsidR="00B73504">
        <w:rPr>
          <w:rFonts w:ascii="David" w:hAnsi="David" w:cs="David" w:hint="cs"/>
          <w:sz w:val="24"/>
          <w:szCs w:val="24"/>
          <w:rtl/>
        </w:rPr>
        <w:t>,</w:t>
      </w:r>
      <w:r>
        <w:rPr>
          <w:rFonts w:ascii="David" w:hAnsi="David" w:cs="David"/>
          <w:sz w:val="24"/>
          <w:szCs w:val="24"/>
          <w:rtl/>
        </w:rPr>
        <w:t xml:space="preserve"> כי הוא אינו מתאים לעבודת </w:t>
      </w:r>
      <w:r w:rsidR="001209B4">
        <w:rPr>
          <w:rFonts w:ascii="David" w:hAnsi="David" w:cs="David" w:hint="cs"/>
          <w:sz w:val="24"/>
          <w:szCs w:val="24"/>
          <w:rtl/>
        </w:rPr>
        <w:t>---------</w:t>
      </w:r>
      <w:r>
        <w:rPr>
          <w:rFonts w:ascii="David" w:hAnsi="David" w:cs="David"/>
          <w:sz w:val="24"/>
          <w:szCs w:val="24"/>
          <w:rtl/>
        </w:rPr>
        <w:t>ו</w:t>
      </w:r>
      <w:r w:rsidR="00B73504">
        <w:rPr>
          <w:rFonts w:ascii="David" w:hAnsi="David" w:cs="David" w:hint="cs"/>
          <w:sz w:val="24"/>
          <w:szCs w:val="24"/>
          <w:rtl/>
        </w:rPr>
        <w:t xml:space="preserve">כי </w:t>
      </w:r>
      <w:r>
        <w:rPr>
          <w:rFonts w:ascii="David" w:hAnsi="David" w:cs="David"/>
          <w:sz w:val="24"/>
          <w:szCs w:val="24"/>
          <w:rtl/>
        </w:rPr>
        <w:t>יוכל לעבוד בעבודה שהינה בעלת אופי משרדי.</w:t>
      </w:r>
      <w:r w:rsidR="00B73504">
        <w:rPr>
          <w:rFonts w:ascii="David" w:hAnsi="David" w:cs="David" w:hint="cs"/>
          <w:sz w:val="24"/>
          <w:szCs w:val="24"/>
          <w:rtl/>
        </w:rPr>
        <w:t xml:space="preserve"> </w:t>
      </w:r>
      <w:r w:rsidRPr="00B73504">
        <w:rPr>
          <w:rFonts w:ascii="David" w:hAnsi="David" w:cs="David"/>
          <w:sz w:val="24"/>
          <w:szCs w:val="24"/>
          <w:rtl/>
        </w:rPr>
        <w:t xml:space="preserve">בהתאם לכך, שובץ המערער בעבודה משרדית </w:t>
      </w:r>
      <w:r w:rsidR="001209B4">
        <w:rPr>
          <w:rFonts w:ascii="David" w:hAnsi="David" w:cs="David" w:hint="cs"/>
          <w:sz w:val="24"/>
          <w:szCs w:val="24"/>
          <w:rtl/>
        </w:rPr>
        <w:t>כ- --------</w:t>
      </w:r>
      <w:r w:rsidRPr="00B73504">
        <w:rPr>
          <w:rFonts w:ascii="David" w:hAnsi="David" w:cs="David"/>
          <w:sz w:val="24"/>
          <w:szCs w:val="24"/>
          <w:rtl/>
        </w:rPr>
        <w:t xml:space="preserve">בסקטור תפעול וזאת עד לפרישתו בחודש פברואר 2020. </w:t>
      </w:r>
    </w:p>
    <w:p w:rsidR="00323725" w:rsidRPr="00323725" w:rsidRDefault="00323725" w:rsidP="005E0678">
      <w:pPr>
        <w:pStyle w:val="ad"/>
        <w:spacing w:after="120"/>
        <w:rPr>
          <w:rFonts w:ascii="David" w:hAnsi="David" w:cs="David"/>
          <w:sz w:val="24"/>
          <w:szCs w:val="24"/>
        </w:rPr>
      </w:pPr>
    </w:p>
    <w:p w:rsidR="00893E93" w:rsidRDefault="006D4858" w:rsidP="00893E93">
      <w:pPr>
        <w:pStyle w:val="ad"/>
        <w:numPr>
          <w:ilvl w:val="0"/>
          <w:numId w:val="1"/>
        </w:numPr>
        <w:spacing w:line="360" w:lineRule="auto"/>
        <w:jc w:val="both"/>
        <w:rPr>
          <w:rFonts w:ascii="David" w:hAnsi="David" w:cs="David"/>
          <w:sz w:val="24"/>
          <w:szCs w:val="24"/>
        </w:rPr>
      </w:pPr>
      <w:r>
        <w:rPr>
          <w:rFonts w:ascii="David" w:hAnsi="David" w:cs="David"/>
          <w:sz w:val="24"/>
          <w:szCs w:val="24"/>
          <w:rtl/>
        </w:rPr>
        <w:t>ביום 04.12.2018 נחתמו פסיקת</w:t>
      </w:r>
      <w:r w:rsidR="00C26613">
        <w:rPr>
          <w:rFonts w:ascii="David" w:hAnsi="David" w:cs="David"/>
          <w:sz w:val="24"/>
          <w:szCs w:val="24"/>
          <w:rtl/>
        </w:rPr>
        <w:t>ות לחלוקת ח</w:t>
      </w:r>
      <w:r w:rsidR="001209B4">
        <w:rPr>
          <w:rFonts w:ascii="David" w:hAnsi="David" w:cs="David" w:hint="cs"/>
          <w:sz w:val="24"/>
          <w:szCs w:val="24"/>
          <w:rtl/>
        </w:rPr>
        <w:t>י</w:t>
      </w:r>
      <w:r w:rsidR="00C26613">
        <w:rPr>
          <w:rFonts w:ascii="David" w:hAnsi="David" w:cs="David"/>
          <w:sz w:val="24"/>
          <w:szCs w:val="24"/>
          <w:rtl/>
        </w:rPr>
        <w:t>סכון פנסיוני אשר קובעות</w:t>
      </w:r>
      <w:r w:rsidR="00516B39">
        <w:rPr>
          <w:rFonts w:ascii="David" w:hAnsi="David" w:cs="David"/>
          <w:sz w:val="24"/>
          <w:szCs w:val="24"/>
          <w:rtl/>
        </w:rPr>
        <w:t xml:space="preserve"> כי איזון גמלת הפנסיה </w:t>
      </w:r>
      <w:r w:rsidR="00B02B6C">
        <w:rPr>
          <w:rFonts w:ascii="David" w:hAnsi="David" w:cs="David" w:hint="cs"/>
          <w:sz w:val="24"/>
          <w:szCs w:val="24"/>
          <w:rtl/>
        </w:rPr>
        <w:t xml:space="preserve">הינו </w:t>
      </w:r>
      <w:r w:rsidR="00516B39">
        <w:rPr>
          <w:rFonts w:ascii="David" w:hAnsi="David" w:cs="David" w:hint="cs"/>
          <w:sz w:val="24"/>
          <w:szCs w:val="24"/>
          <w:rtl/>
        </w:rPr>
        <w:t>מ</w:t>
      </w:r>
      <w:r w:rsidR="00516B39">
        <w:rPr>
          <w:rFonts w:ascii="David" w:hAnsi="David" w:cs="David"/>
          <w:sz w:val="24"/>
          <w:szCs w:val="24"/>
          <w:rtl/>
        </w:rPr>
        <w:t>מועד היציאה לגמלאות ע</w:t>
      </w:r>
      <w:r w:rsidR="00516B39">
        <w:rPr>
          <w:rFonts w:ascii="David" w:hAnsi="David" w:cs="David" w:hint="cs"/>
          <w:sz w:val="24"/>
          <w:szCs w:val="24"/>
          <w:rtl/>
        </w:rPr>
        <w:t xml:space="preserve">ל פי </w:t>
      </w:r>
      <w:r w:rsidR="00C26613">
        <w:rPr>
          <w:rFonts w:ascii="David" w:hAnsi="David" w:cs="David"/>
          <w:sz w:val="24"/>
          <w:szCs w:val="24"/>
          <w:rtl/>
        </w:rPr>
        <w:t>חוק, דהי</w:t>
      </w:r>
      <w:r w:rsidR="00893E93">
        <w:rPr>
          <w:rFonts w:ascii="David" w:hAnsi="David" w:cs="David"/>
          <w:sz w:val="24"/>
          <w:szCs w:val="24"/>
          <w:rtl/>
        </w:rPr>
        <w:t>ינו מיום שימלאו למערער 67 שנים.</w:t>
      </w:r>
    </w:p>
    <w:p w:rsidR="00893E93" w:rsidRPr="00B02B6C" w:rsidRDefault="00893E93" w:rsidP="00893E93">
      <w:pPr>
        <w:spacing w:line="360" w:lineRule="auto"/>
        <w:jc w:val="both"/>
        <w:rPr>
          <w:rFonts w:ascii="David" w:hAnsi="David"/>
        </w:rPr>
      </w:pPr>
    </w:p>
    <w:p w:rsidR="00C26613" w:rsidRDefault="00C26613" w:rsidP="001209B4">
      <w:pPr>
        <w:pStyle w:val="ad"/>
        <w:numPr>
          <w:ilvl w:val="0"/>
          <w:numId w:val="1"/>
        </w:numPr>
        <w:spacing w:line="360" w:lineRule="auto"/>
        <w:jc w:val="both"/>
        <w:rPr>
          <w:rFonts w:ascii="David" w:hAnsi="David" w:cs="David"/>
          <w:sz w:val="24"/>
          <w:szCs w:val="24"/>
        </w:rPr>
      </w:pPr>
      <w:r>
        <w:rPr>
          <w:rFonts w:ascii="David" w:hAnsi="David" w:cs="David"/>
          <w:sz w:val="24"/>
          <w:szCs w:val="24"/>
          <w:rtl/>
        </w:rPr>
        <w:t>ביום 08.12.2019 הגיש המערער תביעה בתלה"מ 20640-12-19 בבית המשפט לענייני משפחה בקר</w:t>
      </w:r>
      <w:r w:rsidR="00992FD4">
        <w:rPr>
          <w:rFonts w:ascii="David" w:hAnsi="David" w:cs="David"/>
          <w:sz w:val="24"/>
          <w:szCs w:val="24"/>
          <w:rtl/>
        </w:rPr>
        <w:t>יות, להס</w:t>
      </w:r>
      <w:r w:rsidR="00F50F1A">
        <w:rPr>
          <w:rFonts w:ascii="David" w:hAnsi="David" w:cs="David"/>
          <w:sz w:val="24"/>
          <w:szCs w:val="24"/>
          <w:rtl/>
        </w:rPr>
        <w:t>רת העיקול שהטילה</w:t>
      </w:r>
      <w:r w:rsidR="00F50F1A">
        <w:rPr>
          <w:rFonts w:ascii="David" w:hAnsi="David" w:cs="David" w:hint="cs"/>
          <w:sz w:val="24"/>
          <w:szCs w:val="24"/>
          <w:rtl/>
        </w:rPr>
        <w:t xml:space="preserve"> המשיבה</w:t>
      </w:r>
      <w:r>
        <w:rPr>
          <w:rFonts w:ascii="David" w:hAnsi="David" w:cs="David"/>
          <w:sz w:val="24"/>
          <w:szCs w:val="24"/>
          <w:rtl/>
        </w:rPr>
        <w:t xml:space="preserve"> על קו</w:t>
      </w:r>
      <w:r w:rsidR="006D4858">
        <w:rPr>
          <w:rFonts w:ascii="David" w:hAnsi="David" w:cs="David"/>
          <w:sz w:val="24"/>
          <w:szCs w:val="24"/>
          <w:rtl/>
        </w:rPr>
        <w:t>פת גמל ב</w:t>
      </w:r>
      <w:r w:rsidR="00516B39">
        <w:rPr>
          <w:rFonts w:ascii="David" w:hAnsi="David" w:cs="David" w:hint="cs"/>
          <w:sz w:val="24"/>
          <w:szCs w:val="24"/>
          <w:rtl/>
        </w:rPr>
        <w:t>-"</w:t>
      </w:r>
      <w:r w:rsidR="001209B4">
        <w:rPr>
          <w:rFonts w:ascii="David" w:hAnsi="David" w:cs="David" w:hint="cs"/>
          <w:sz w:val="24"/>
          <w:szCs w:val="24"/>
          <w:rtl/>
        </w:rPr>
        <w:t xml:space="preserve">ה' א' </w:t>
      </w:r>
      <w:r w:rsidR="00516B39">
        <w:rPr>
          <w:rFonts w:ascii="David" w:hAnsi="David" w:cs="David" w:hint="cs"/>
          <w:sz w:val="24"/>
          <w:szCs w:val="24"/>
          <w:rtl/>
        </w:rPr>
        <w:t>"</w:t>
      </w:r>
      <w:r w:rsidR="006D4858">
        <w:rPr>
          <w:rFonts w:ascii="David" w:hAnsi="David" w:cs="David"/>
          <w:sz w:val="24"/>
          <w:szCs w:val="24"/>
          <w:rtl/>
        </w:rPr>
        <w:t xml:space="preserve"> בלבד. בי</w:t>
      </w:r>
      <w:r w:rsidR="006D4858">
        <w:rPr>
          <w:rFonts w:ascii="David" w:hAnsi="David" w:cs="David" w:hint="cs"/>
          <w:sz w:val="24"/>
          <w:szCs w:val="24"/>
          <w:rtl/>
        </w:rPr>
        <w:t>ת המשפט קמא</w:t>
      </w:r>
      <w:r>
        <w:rPr>
          <w:rFonts w:ascii="David" w:hAnsi="David" w:cs="David"/>
          <w:sz w:val="24"/>
          <w:szCs w:val="24"/>
          <w:rtl/>
        </w:rPr>
        <w:t xml:space="preserve"> אישר את הסרת העיקולים לאחר שהמשיבה קיבלה ע"פ תחש</w:t>
      </w:r>
      <w:r w:rsidR="006D4858">
        <w:rPr>
          <w:rFonts w:ascii="David" w:hAnsi="David" w:cs="David" w:hint="cs"/>
          <w:sz w:val="24"/>
          <w:szCs w:val="24"/>
          <w:rtl/>
        </w:rPr>
        <w:t>י</w:t>
      </w:r>
      <w:r>
        <w:rPr>
          <w:rFonts w:ascii="David" w:hAnsi="David" w:cs="David"/>
          <w:sz w:val="24"/>
          <w:szCs w:val="24"/>
          <w:rtl/>
        </w:rPr>
        <w:t xml:space="preserve">בי אקטואר 174,981 ₪. </w:t>
      </w:r>
    </w:p>
    <w:p w:rsidR="00893E93" w:rsidRPr="00893E93" w:rsidRDefault="00893E93" w:rsidP="00893E93">
      <w:pPr>
        <w:spacing w:line="360" w:lineRule="auto"/>
        <w:jc w:val="both"/>
        <w:rPr>
          <w:rFonts w:ascii="David" w:hAnsi="David"/>
        </w:rPr>
      </w:pPr>
    </w:p>
    <w:p w:rsidR="00516B39" w:rsidRDefault="00516B39" w:rsidP="00516B39">
      <w:pPr>
        <w:pStyle w:val="ad"/>
        <w:numPr>
          <w:ilvl w:val="0"/>
          <w:numId w:val="1"/>
        </w:numPr>
        <w:spacing w:line="360" w:lineRule="auto"/>
        <w:jc w:val="both"/>
        <w:rPr>
          <w:rFonts w:ascii="David" w:hAnsi="David" w:cs="David"/>
          <w:sz w:val="24"/>
          <w:szCs w:val="24"/>
        </w:rPr>
      </w:pPr>
      <w:r>
        <w:rPr>
          <w:rFonts w:ascii="David" w:hAnsi="David" w:cs="David" w:hint="cs"/>
          <w:sz w:val="24"/>
          <w:szCs w:val="24"/>
          <w:rtl/>
        </w:rPr>
        <w:t>ביום 29.02.2020 פרש המערער מעבודתו, לאחר למעלה מ-35 שנות עבודה ולמעלה מ-6 שנים לפני גיל הפרישה הכללי שהוא 67.</w:t>
      </w:r>
    </w:p>
    <w:p w:rsidR="00893E93" w:rsidRPr="00893E93" w:rsidRDefault="00893E93" w:rsidP="00893E93">
      <w:pPr>
        <w:spacing w:line="360" w:lineRule="auto"/>
        <w:jc w:val="both"/>
        <w:rPr>
          <w:rFonts w:ascii="David" w:hAnsi="David"/>
        </w:rPr>
      </w:pPr>
    </w:p>
    <w:p w:rsidR="00C26613" w:rsidRDefault="00C26613" w:rsidP="00893E9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07.12.2020 הגישה </w:t>
      </w:r>
      <w:r w:rsidR="006D4858">
        <w:rPr>
          <w:rFonts w:ascii="David" w:hAnsi="David" w:cs="David"/>
          <w:sz w:val="24"/>
          <w:szCs w:val="24"/>
          <w:rtl/>
        </w:rPr>
        <w:t>ה</w:t>
      </w:r>
      <w:r w:rsidR="0081085E">
        <w:rPr>
          <w:rFonts w:ascii="David" w:hAnsi="David" w:cs="David"/>
          <w:sz w:val="24"/>
          <w:szCs w:val="24"/>
          <w:rtl/>
        </w:rPr>
        <w:t xml:space="preserve">משיבה </w:t>
      </w:r>
      <w:r w:rsidR="0081085E">
        <w:rPr>
          <w:rFonts w:ascii="David" w:hAnsi="David" w:cs="David" w:hint="cs"/>
          <w:sz w:val="24"/>
          <w:szCs w:val="24"/>
          <w:rtl/>
        </w:rPr>
        <w:t>ל</w:t>
      </w:r>
      <w:r w:rsidR="006D4858">
        <w:rPr>
          <w:rFonts w:ascii="David" w:hAnsi="David" w:cs="David"/>
          <w:sz w:val="24"/>
          <w:szCs w:val="24"/>
          <w:rtl/>
        </w:rPr>
        <w:t xml:space="preserve">בית משפט קמא </w:t>
      </w:r>
      <w:r w:rsidR="0081085E">
        <w:rPr>
          <w:rFonts w:ascii="David" w:hAnsi="David" w:cs="David" w:hint="cs"/>
          <w:sz w:val="24"/>
          <w:szCs w:val="24"/>
          <w:rtl/>
        </w:rPr>
        <w:t xml:space="preserve">תביעה </w:t>
      </w:r>
      <w:r w:rsidR="006D4858">
        <w:rPr>
          <w:rFonts w:ascii="David" w:hAnsi="David" w:cs="David"/>
          <w:sz w:val="24"/>
          <w:szCs w:val="24"/>
          <w:rtl/>
        </w:rPr>
        <w:t>ל</w:t>
      </w:r>
      <w:r>
        <w:rPr>
          <w:rFonts w:ascii="David" w:hAnsi="David" w:cs="David"/>
          <w:sz w:val="24"/>
          <w:szCs w:val="24"/>
          <w:rtl/>
        </w:rPr>
        <w:t>חלוקת חיסכון פנסיוני בהתא</w:t>
      </w:r>
      <w:r w:rsidR="00516B39">
        <w:rPr>
          <w:rFonts w:ascii="David" w:hAnsi="David" w:cs="David"/>
          <w:sz w:val="24"/>
          <w:szCs w:val="24"/>
          <w:rtl/>
        </w:rPr>
        <w:t>ם לפסיקתא מיום 04.12.2018</w:t>
      </w:r>
      <w:r w:rsidR="00516B39">
        <w:rPr>
          <w:rFonts w:ascii="David" w:hAnsi="David" w:cs="David" w:hint="cs"/>
          <w:sz w:val="24"/>
          <w:szCs w:val="24"/>
          <w:rtl/>
        </w:rPr>
        <w:t xml:space="preserve">, במסגרתה טענה כי </w:t>
      </w:r>
      <w:r w:rsidR="00B02B6C">
        <w:rPr>
          <w:rFonts w:ascii="David" w:hAnsi="David" w:cs="David"/>
          <w:sz w:val="24"/>
          <w:szCs w:val="24"/>
          <w:rtl/>
        </w:rPr>
        <w:t xml:space="preserve">מועד תשלום חלקה </w:t>
      </w:r>
      <w:r w:rsidR="00893E93">
        <w:rPr>
          <w:rFonts w:ascii="David" w:hAnsi="David" w:cs="David"/>
          <w:sz w:val="24"/>
          <w:szCs w:val="24"/>
          <w:rtl/>
        </w:rPr>
        <w:t xml:space="preserve">בפנסיה </w:t>
      </w:r>
      <w:r w:rsidR="00893E93">
        <w:rPr>
          <w:rFonts w:ascii="David" w:hAnsi="David" w:cs="David"/>
          <w:sz w:val="24"/>
          <w:szCs w:val="24"/>
          <w:rtl/>
        </w:rPr>
        <w:lastRenderedPageBreak/>
        <w:t>שמקבל המערער מ</w:t>
      </w:r>
      <w:r w:rsidR="001209B4">
        <w:rPr>
          <w:rFonts w:ascii="David" w:hAnsi="David" w:cs="David" w:hint="cs"/>
          <w:sz w:val="24"/>
          <w:szCs w:val="24"/>
          <w:rtl/>
        </w:rPr>
        <w:t>-</w:t>
      </w:r>
      <w:r w:rsidR="001209B4">
        <w:rPr>
          <w:rFonts w:ascii="David" w:hAnsi="David" w:cs="David"/>
          <w:sz w:val="24"/>
          <w:szCs w:val="24"/>
          <w:rtl/>
        </w:rPr>
        <w:t>ח' נ'</w:t>
      </w:r>
      <w:r w:rsidR="00B02B6C">
        <w:rPr>
          <w:rFonts w:ascii="David" w:hAnsi="David" w:cs="David" w:hint="cs"/>
          <w:sz w:val="24"/>
          <w:szCs w:val="24"/>
          <w:rtl/>
        </w:rPr>
        <w:t>,</w:t>
      </w:r>
      <w:r w:rsidR="00893E93">
        <w:rPr>
          <w:rFonts w:ascii="David" w:hAnsi="David" w:cs="David"/>
          <w:sz w:val="24"/>
          <w:szCs w:val="24"/>
          <w:rtl/>
        </w:rPr>
        <w:t xml:space="preserve"> ח</w:t>
      </w:r>
      <w:r w:rsidR="00893E93">
        <w:rPr>
          <w:rFonts w:ascii="David" w:hAnsi="David" w:cs="David" w:hint="cs"/>
          <w:sz w:val="24"/>
          <w:szCs w:val="24"/>
          <w:rtl/>
        </w:rPr>
        <w:t>ל ב</w:t>
      </w:r>
      <w:r>
        <w:rPr>
          <w:rFonts w:ascii="David" w:hAnsi="David" w:cs="David"/>
          <w:sz w:val="24"/>
          <w:szCs w:val="24"/>
          <w:rtl/>
        </w:rPr>
        <w:t>מועד הפרישה בפועל. לטענתה, ה</w:t>
      </w:r>
      <w:r w:rsidR="00B02B6C">
        <w:rPr>
          <w:rFonts w:ascii="David" w:hAnsi="David" w:cs="David"/>
          <w:sz w:val="24"/>
          <w:szCs w:val="24"/>
          <w:rtl/>
        </w:rPr>
        <w:t>מערער פרש מרצון ביום 29.02.2020</w:t>
      </w:r>
      <w:r w:rsidR="00B02B6C">
        <w:rPr>
          <w:rFonts w:ascii="David" w:hAnsi="David" w:cs="David" w:hint="cs"/>
          <w:sz w:val="24"/>
          <w:szCs w:val="24"/>
          <w:rtl/>
        </w:rPr>
        <w:t xml:space="preserve">, </w:t>
      </w:r>
      <w:r>
        <w:rPr>
          <w:rFonts w:ascii="David" w:hAnsi="David" w:cs="David"/>
          <w:sz w:val="24"/>
          <w:szCs w:val="24"/>
          <w:rtl/>
        </w:rPr>
        <w:t xml:space="preserve">למעלה </w:t>
      </w:r>
      <w:r w:rsidR="00516B39">
        <w:rPr>
          <w:rFonts w:ascii="David" w:hAnsi="David" w:cs="David"/>
          <w:sz w:val="24"/>
          <w:szCs w:val="24"/>
          <w:rtl/>
        </w:rPr>
        <w:t>מ-6 שנים לפני גיל הפרישה הכללי</w:t>
      </w:r>
      <w:r w:rsidR="0081085E">
        <w:rPr>
          <w:rFonts w:ascii="David" w:hAnsi="David" w:cs="David" w:hint="cs"/>
          <w:sz w:val="24"/>
          <w:szCs w:val="24"/>
          <w:rtl/>
        </w:rPr>
        <w:t>, וכי החל ממועד זה היא זכאית לקבל מידי חודש</w:t>
      </w:r>
      <w:r w:rsidR="00B02B6C">
        <w:rPr>
          <w:rFonts w:ascii="David" w:hAnsi="David" w:cs="David" w:hint="cs"/>
          <w:sz w:val="24"/>
          <w:szCs w:val="24"/>
          <w:rtl/>
        </w:rPr>
        <w:t>,</w:t>
      </w:r>
      <w:r w:rsidR="0081085E">
        <w:rPr>
          <w:rFonts w:ascii="David" w:hAnsi="David" w:cs="David" w:hint="cs"/>
          <w:sz w:val="24"/>
          <w:szCs w:val="24"/>
          <w:rtl/>
        </w:rPr>
        <w:t xml:space="preserve"> את חלקה בגמלה המשולמת לו.</w:t>
      </w:r>
    </w:p>
    <w:p w:rsidR="00893E93" w:rsidRPr="00893E93" w:rsidRDefault="00893E93" w:rsidP="00893E93">
      <w:pPr>
        <w:spacing w:line="360" w:lineRule="auto"/>
        <w:jc w:val="both"/>
        <w:rPr>
          <w:rFonts w:ascii="David" w:hAnsi="David"/>
        </w:rPr>
      </w:pPr>
    </w:p>
    <w:p w:rsidR="0081085E" w:rsidRPr="0081085E" w:rsidRDefault="00C26613" w:rsidP="0081085E">
      <w:pPr>
        <w:pStyle w:val="ad"/>
        <w:numPr>
          <w:ilvl w:val="0"/>
          <w:numId w:val="1"/>
        </w:numPr>
        <w:spacing w:line="360" w:lineRule="auto"/>
        <w:jc w:val="both"/>
        <w:rPr>
          <w:rFonts w:ascii="David" w:hAnsi="David" w:cs="David"/>
          <w:sz w:val="24"/>
          <w:szCs w:val="24"/>
        </w:rPr>
      </w:pPr>
      <w:r>
        <w:rPr>
          <w:rFonts w:ascii="David" w:hAnsi="David" w:cs="David"/>
          <w:sz w:val="24"/>
          <w:szCs w:val="24"/>
          <w:rtl/>
        </w:rPr>
        <w:t>בי</w:t>
      </w:r>
      <w:r w:rsidR="00893E93">
        <w:rPr>
          <w:rFonts w:ascii="David" w:hAnsi="David" w:cs="David" w:hint="cs"/>
          <w:sz w:val="24"/>
          <w:szCs w:val="24"/>
          <w:rtl/>
        </w:rPr>
        <w:t>ו</w:t>
      </w:r>
      <w:r>
        <w:rPr>
          <w:rFonts w:ascii="David" w:hAnsi="David" w:cs="David"/>
          <w:sz w:val="24"/>
          <w:szCs w:val="24"/>
          <w:rtl/>
        </w:rPr>
        <w:t>ם 26.01.2021</w:t>
      </w:r>
      <w:r w:rsidR="00E5215E">
        <w:rPr>
          <w:rFonts w:ascii="David" w:hAnsi="David" w:cs="David" w:hint="cs"/>
          <w:sz w:val="24"/>
          <w:szCs w:val="24"/>
          <w:rtl/>
        </w:rPr>
        <w:t>,</w:t>
      </w:r>
      <w:r>
        <w:rPr>
          <w:rFonts w:ascii="David" w:hAnsi="David" w:cs="David"/>
          <w:sz w:val="24"/>
          <w:szCs w:val="24"/>
          <w:rtl/>
        </w:rPr>
        <w:t xml:space="preserve"> </w:t>
      </w:r>
      <w:r w:rsidR="00516B39">
        <w:rPr>
          <w:rFonts w:ascii="David" w:hAnsi="David" w:cs="David" w:hint="cs"/>
          <w:sz w:val="24"/>
          <w:szCs w:val="24"/>
          <w:rtl/>
        </w:rPr>
        <w:t xml:space="preserve">טרם הגשת כתב הגנה מטעם המערער, </w:t>
      </w:r>
      <w:r w:rsidR="00893E93">
        <w:rPr>
          <w:rFonts w:ascii="David" w:hAnsi="David" w:cs="David" w:hint="cs"/>
          <w:sz w:val="24"/>
          <w:szCs w:val="24"/>
          <w:rtl/>
        </w:rPr>
        <w:t xml:space="preserve">דחה </w:t>
      </w:r>
      <w:r w:rsidR="00893E93">
        <w:rPr>
          <w:rFonts w:ascii="David" w:hAnsi="David" w:cs="David"/>
          <w:sz w:val="24"/>
          <w:szCs w:val="24"/>
          <w:rtl/>
        </w:rPr>
        <w:t xml:space="preserve">בית משפט קמא </w:t>
      </w:r>
      <w:r w:rsidR="00893E93">
        <w:rPr>
          <w:rFonts w:ascii="David" w:hAnsi="David" w:cs="David" w:hint="cs"/>
          <w:sz w:val="24"/>
          <w:szCs w:val="24"/>
          <w:rtl/>
        </w:rPr>
        <w:t>את התביעה על הסף משקבע</w:t>
      </w:r>
      <w:r w:rsidR="00B02B6C">
        <w:rPr>
          <w:rFonts w:ascii="David" w:hAnsi="David" w:cs="David" w:hint="cs"/>
          <w:sz w:val="24"/>
          <w:szCs w:val="24"/>
          <w:rtl/>
        </w:rPr>
        <w:t>,</w:t>
      </w:r>
      <w:r w:rsidR="00893E93">
        <w:rPr>
          <w:rFonts w:ascii="David" w:hAnsi="David" w:cs="David" w:hint="cs"/>
          <w:sz w:val="24"/>
          <w:szCs w:val="24"/>
          <w:rtl/>
        </w:rPr>
        <w:t xml:space="preserve"> כי </w:t>
      </w:r>
      <w:r w:rsidR="00516B39" w:rsidRPr="0081085E">
        <w:rPr>
          <w:rFonts w:ascii="David" w:hAnsi="David" w:cs="David" w:hint="cs"/>
          <w:b/>
          <w:bCs/>
          <w:sz w:val="24"/>
          <w:szCs w:val="24"/>
          <w:rtl/>
        </w:rPr>
        <w:t>"יש</w:t>
      </w:r>
      <w:r w:rsidRPr="0081085E">
        <w:rPr>
          <w:rFonts w:ascii="David" w:hAnsi="David" w:cs="David"/>
          <w:b/>
          <w:bCs/>
          <w:sz w:val="24"/>
          <w:szCs w:val="24"/>
          <w:rtl/>
        </w:rPr>
        <w:t xml:space="preserve"> מעשה בית דין בנוגע לסוגיה </w:t>
      </w:r>
      <w:r w:rsidR="00516B39" w:rsidRPr="0081085E">
        <w:rPr>
          <w:rFonts w:ascii="David" w:hAnsi="David" w:cs="David" w:hint="cs"/>
          <w:b/>
          <w:bCs/>
          <w:sz w:val="24"/>
          <w:szCs w:val="24"/>
          <w:rtl/>
        </w:rPr>
        <w:t>זו"</w:t>
      </w:r>
      <w:r w:rsidR="00B02B6C">
        <w:rPr>
          <w:rFonts w:ascii="David" w:hAnsi="David" w:cs="David" w:hint="cs"/>
          <w:sz w:val="24"/>
          <w:szCs w:val="24"/>
          <w:rtl/>
        </w:rPr>
        <w:t>,</w:t>
      </w:r>
      <w:r w:rsidR="00516B39">
        <w:rPr>
          <w:rFonts w:ascii="David" w:hAnsi="David" w:cs="David" w:hint="cs"/>
          <w:sz w:val="24"/>
          <w:szCs w:val="24"/>
          <w:rtl/>
        </w:rPr>
        <w:t xml:space="preserve"> </w:t>
      </w:r>
      <w:r w:rsidR="00893E93">
        <w:rPr>
          <w:rFonts w:ascii="David" w:hAnsi="David" w:cs="David" w:hint="cs"/>
          <w:sz w:val="24"/>
          <w:szCs w:val="24"/>
          <w:rtl/>
        </w:rPr>
        <w:t xml:space="preserve">והמשיבה </w:t>
      </w:r>
      <w:r w:rsidR="00516B39">
        <w:rPr>
          <w:rFonts w:ascii="David" w:hAnsi="David" w:cs="David" w:hint="cs"/>
          <w:sz w:val="24"/>
          <w:szCs w:val="24"/>
          <w:rtl/>
        </w:rPr>
        <w:t>חוייבה בהוצאות לטובת המערער.</w:t>
      </w:r>
    </w:p>
    <w:p w:rsidR="00C26613" w:rsidRDefault="00516B39" w:rsidP="00893E93">
      <w:pPr>
        <w:pStyle w:val="ad"/>
        <w:spacing w:line="360" w:lineRule="auto"/>
        <w:jc w:val="both"/>
        <w:rPr>
          <w:rFonts w:ascii="David" w:hAnsi="David" w:cs="David"/>
          <w:sz w:val="24"/>
          <w:szCs w:val="24"/>
          <w:rtl/>
        </w:rPr>
      </w:pPr>
      <w:r>
        <w:rPr>
          <w:rFonts w:ascii="David" w:hAnsi="David" w:cs="David" w:hint="cs"/>
          <w:sz w:val="24"/>
          <w:szCs w:val="24"/>
          <w:rtl/>
        </w:rPr>
        <w:t xml:space="preserve">ערעור המשיבה ב- </w:t>
      </w:r>
      <w:r>
        <w:rPr>
          <w:rFonts w:ascii="David" w:hAnsi="David" w:cs="David"/>
          <w:sz w:val="24"/>
          <w:szCs w:val="24"/>
          <w:rtl/>
        </w:rPr>
        <w:t>עמ"ש 25906-03-2</w:t>
      </w:r>
      <w:r>
        <w:rPr>
          <w:rFonts w:ascii="David" w:hAnsi="David" w:cs="David" w:hint="cs"/>
          <w:sz w:val="24"/>
          <w:szCs w:val="24"/>
          <w:rtl/>
        </w:rPr>
        <w:t xml:space="preserve"> </w:t>
      </w:r>
      <w:r w:rsidR="00893E93">
        <w:rPr>
          <w:rFonts w:ascii="David" w:hAnsi="David" w:cs="David" w:hint="cs"/>
          <w:sz w:val="24"/>
          <w:szCs w:val="24"/>
          <w:rtl/>
        </w:rPr>
        <w:t>על דחיית תביעתה נ</w:t>
      </w:r>
      <w:r>
        <w:rPr>
          <w:rFonts w:ascii="David" w:hAnsi="David" w:cs="David" w:hint="cs"/>
          <w:sz w:val="24"/>
          <w:szCs w:val="24"/>
          <w:rtl/>
        </w:rPr>
        <w:t xml:space="preserve">דון </w:t>
      </w:r>
      <w:r w:rsidR="00893E93">
        <w:rPr>
          <w:rFonts w:ascii="David" w:hAnsi="David" w:cs="David" w:hint="cs"/>
          <w:sz w:val="24"/>
          <w:szCs w:val="24"/>
          <w:rtl/>
        </w:rPr>
        <w:t xml:space="preserve">והתקבל </w:t>
      </w:r>
      <w:r>
        <w:rPr>
          <w:rFonts w:ascii="David" w:hAnsi="David" w:cs="David" w:hint="cs"/>
          <w:sz w:val="24"/>
          <w:szCs w:val="24"/>
          <w:rtl/>
        </w:rPr>
        <w:t xml:space="preserve">בבית משפט </w:t>
      </w:r>
      <w:r w:rsidRPr="00893E93">
        <w:rPr>
          <w:rFonts w:ascii="David" w:hAnsi="David" w:cs="David" w:hint="cs"/>
          <w:sz w:val="24"/>
          <w:szCs w:val="24"/>
          <w:rtl/>
        </w:rPr>
        <w:t>זה</w:t>
      </w:r>
      <w:r w:rsidR="00893E93">
        <w:rPr>
          <w:rFonts w:ascii="David" w:hAnsi="David" w:cs="David" w:hint="cs"/>
          <w:sz w:val="24"/>
          <w:szCs w:val="24"/>
          <w:rtl/>
        </w:rPr>
        <w:t xml:space="preserve"> ביום </w:t>
      </w:r>
      <w:r w:rsidR="00893E93">
        <w:rPr>
          <w:rFonts w:ascii="David" w:hAnsi="David" w:cs="David"/>
          <w:sz w:val="24"/>
          <w:szCs w:val="24"/>
          <w:rtl/>
        </w:rPr>
        <w:t>10.06.2021</w:t>
      </w:r>
      <w:r w:rsidR="0081085E">
        <w:rPr>
          <w:rFonts w:ascii="David" w:hAnsi="David" w:cs="David" w:hint="cs"/>
          <w:sz w:val="24"/>
          <w:szCs w:val="24"/>
          <w:rtl/>
        </w:rPr>
        <w:t>,</w:t>
      </w:r>
      <w:r w:rsidR="00893E93">
        <w:rPr>
          <w:rFonts w:ascii="David" w:hAnsi="David" w:cs="David" w:hint="cs"/>
          <w:sz w:val="24"/>
          <w:szCs w:val="24"/>
          <w:rtl/>
        </w:rPr>
        <w:t xml:space="preserve"> ו</w:t>
      </w:r>
      <w:r w:rsidRPr="00893E93">
        <w:rPr>
          <w:rFonts w:ascii="David" w:hAnsi="David" w:cs="David" w:hint="cs"/>
          <w:sz w:val="24"/>
          <w:szCs w:val="24"/>
          <w:rtl/>
        </w:rPr>
        <w:t xml:space="preserve">הדיון </w:t>
      </w:r>
      <w:r w:rsidR="00893E93">
        <w:rPr>
          <w:rFonts w:ascii="David" w:hAnsi="David" w:cs="David" w:hint="cs"/>
          <w:sz w:val="24"/>
          <w:szCs w:val="24"/>
          <w:rtl/>
        </w:rPr>
        <w:t xml:space="preserve">בתביעת המשיבה הוחזר לבית משפט קמא על מנת שיכריע בתביעה,  </w:t>
      </w:r>
      <w:r w:rsidRPr="00893E93">
        <w:rPr>
          <w:rFonts w:ascii="David" w:hAnsi="David" w:cs="David" w:hint="cs"/>
          <w:sz w:val="24"/>
          <w:szCs w:val="24"/>
          <w:rtl/>
        </w:rPr>
        <w:t>לאחר שמיעת ראיות ועדויות הצדדים</w:t>
      </w:r>
      <w:r w:rsidR="00C26613" w:rsidRPr="00893E93">
        <w:rPr>
          <w:rFonts w:ascii="David" w:hAnsi="David" w:cs="David"/>
          <w:sz w:val="24"/>
          <w:szCs w:val="24"/>
          <w:rtl/>
        </w:rPr>
        <w:t xml:space="preserve">. </w:t>
      </w:r>
    </w:p>
    <w:p w:rsidR="00893E93" w:rsidRPr="00893E93" w:rsidRDefault="00893E93" w:rsidP="00893E93">
      <w:pPr>
        <w:pStyle w:val="ad"/>
        <w:spacing w:line="360" w:lineRule="auto"/>
        <w:jc w:val="both"/>
        <w:rPr>
          <w:rFonts w:ascii="David" w:hAnsi="David" w:cs="David"/>
          <w:sz w:val="24"/>
          <w:szCs w:val="24"/>
        </w:rPr>
      </w:pPr>
    </w:p>
    <w:p w:rsidR="00C26613" w:rsidRDefault="00516B39" w:rsidP="00C26613">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משהוחזר </w:t>
      </w:r>
      <w:r w:rsidR="00893E93">
        <w:rPr>
          <w:rFonts w:ascii="David" w:hAnsi="David" w:cs="David" w:hint="cs"/>
          <w:sz w:val="24"/>
          <w:szCs w:val="24"/>
          <w:rtl/>
        </w:rPr>
        <w:t>הדיון לבית משפט קמא הוגש כתב הגנה והתביעה התבררה לגופה. המערער טען</w:t>
      </w:r>
      <w:r>
        <w:rPr>
          <w:rFonts w:ascii="David" w:hAnsi="David" w:cs="David" w:hint="cs"/>
          <w:sz w:val="24"/>
          <w:szCs w:val="24"/>
          <w:rtl/>
        </w:rPr>
        <w:t xml:space="preserve">, כי </w:t>
      </w:r>
      <w:r>
        <w:rPr>
          <w:rFonts w:ascii="David" w:hAnsi="David" w:cs="David"/>
          <w:sz w:val="24"/>
          <w:szCs w:val="24"/>
          <w:rtl/>
        </w:rPr>
        <w:t xml:space="preserve">הקצבה החודשית </w:t>
      </w:r>
      <w:r>
        <w:rPr>
          <w:rFonts w:ascii="David" w:hAnsi="David" w:cs="David" w:hint="cs"/>
          <w:sz w:val="24"/>
          <w:szCs w:val="24"/>
          <w:rtl/>
        </w:rPr>
        <w:t>ממעסיקתו</w:t>
      </w:r>
      <w:r w:rsidR="00893E93">
        <w:rPr>
          <w:rFonts w:ascii="David" w:hAnsi="David" w:cs="David"/>
          <w:sz w:val="24"/>
          <w:szCs w:val="24"/>
          <w:rtl/>
        </w:rPr>
        <w:t xml:space="preserve"> אינה ברת איזון</w:t>
      </w:r>
      <w:r w:rsidR="00B02B6C">
        <w:rPr>
          <w:rFonts w:ascii="David" w:hAnsi="David" w:cs="David" w:hint="cs"/>
          <w:sz w:val="24"/>
          <w:szCs w:val="24"/>
          <w:rtl/>
        </w:rPr>
        <w:t>,</w:t>
      </w:r>
      <w:r w:rsidR="00893E93">
        <w:rPr>
          <w:rFonts w:ascii="David" w:hAnsi="David" w:cs="David" w:hint="cs"/>
          <w:sz w:val="24"/>
          <w:szCs w:val="24"/>
          <w:rtl/>
        </w:rPr>
        <w:t xml:space="preserve"> מש</w:t>
      </w:r>
      <w:r>
        <w:rPr>
          <w:rFonts w:ascii="David" w:hAnsi="David" w:cs="David"/>
          <w:sz w:val="24"/>
          <w:szCs w:val="24"/>
          <w:rtl/>
        </w:rPr>
        <w:t>מקור</w:t>
      </w:r>
      <w:r>
        <w:rPr>
          <w:rFonts w:ascii="David" w:hAnsi="David" w:cs="David" w:hint="cs"/>
          <w:sz w:val="24"/>
          <w:szCs w:val="24"/>
          <w:rtl/>
        </w:rPr>
        <w:t>ה</w:t>
      </w:r>
      <w:r w:rsidR="00C26613">
        <w:rPr>
          <w:rFonts w:ascii="David" w:hAnsi="David" w:cs="David"/>
          <w:sz w:val="24"/>
          <w:szCs w:val="24"/>
          <w:rtl/>
        </w:rPr>
        <w:t xml:space="preserve"> אינו בכספי</w:t>
      </w:r>
      <w:r>
        <w:rPr>
          <w:rFonts w:ascii="David" w:hAnsi="David" w:cs="David"/>
          <w:sz w:val="24"/>
          <w:szCs w:val="24"/>
          <w:rtl/>
        </w:rPr>
        <w:t>ם שמקום העבודה הפריש לטובת</w:t>
      </w:r>
      <w:r>
        <w:rPr>
          <w:rFonts w:ascii="David" w:hAnsi="David" w:cs="David" w:hint="cs"/>
          <w:sz w:val="24"/>
          <w:szCs w:val="24"/>
          <w:rtl/>
        </w:rPr>
        <w:t>ו</w:t>
      </w:r>
      <w:r>
        <w:rPr>
          <w:rFonts w:ascii="David" w:hAnsi="David" w:cs="David"/>
          <w:sz w:val="24"/>
          <w:szCs w:val="24"/>
          <w:rtl/>
        </w:rPr>
        <w:t xml:space="preserve"> </w:t>
      </w:r>
      <w:r w:rsidR="00893E93">
        <w:rPr>
          <w:rFonts w:ascii="David" w:hAnsi="David" w:cs="David"/>
          <w:sz w:val="24"/>
          <w:szCs w:val="24"/>
          <w:rtl/>
        </w:rPr>
        <w:t>מהלך השנים</w:t>
      </w:r>
      <w:r w:rsidR="00893E93">
        <w:rPr>
          <w:rFonts w:ascii="David" w:hAnsi="David" w:cs="David" w:hint="cs"/>
          <w:sz w:val="24"/>
          <w:szCs w:val="24"/>
          <w:rtl/>
        </w:rPr>
        <w:t xml:space="preserve">. על כן, כך לטענתו, </w:t>
      </w:r>
      <w:r w:rsidR="00C26613">
        <w:rPr>
          <w:rFonts w:ascii="David" w:hAnsi="David" w:cs="David"/>
          <w:sz w:val="24"/>
          <w:szCs w:val="24"/>
          <w:rtl/>
        </w:rPr>
        <w:t>לא קיימת זיקה בינה לבין תקופת ההעסקה במהלך החיים המשותפים. עוד טען כי זכותו לקבלת קצבה התגבשה 18 שני</w:t>
      </w:r>
      <w:r>
        <w:rPr>
          <w:rFonts w:ascii="David" w:hAnsi="David" w:cs="David"/>
          <w:sz w:val="24"/>
          <w:szCs w:val="24"/>
          <w:rtl/>
        </w:rPr>
        <w:t>ם לאחר שהצדדים נפרדו</w:t>
      </w:r>
      <w:r>
        <w:rPr>
          <w:rFonts w:ascii="David" w:hAnsi="David" w:cs="David" w:hint="cs"/>
          <w:sz w:val="24"/>
          <w:szCs w:val="24"/>
          <w:rtl/>
        </w:rPr>
        <w:t>,</w:t>
      </w:r>
      <w:r w:rsidR="00C26613">
        <w:rPr>
          <w:rFonts w:ascii="David" w:hAnsi="David" w:cs="David"/>
          <w:sz w:val="24"/>
          <w:szCs w:val="24"/>
          <w:rtl/>
        </w:rPr>
        <w:t xml:space="preserve"> </w:t>
      </w:r>
      <w:r>
        <w:rPr>
          <w:rFonts w:ascii="David" w:hAnsi="David" w:cs="David" w:hint="cs"/>
          <w:sz w:val="24"/>
          <w:szCs w:val="24"/>
          <w:rtl/>
        </w:rPr>
        <w:t>ו</w:t>
      </w:r>
      <w:r w:rsidR="00C26613">
        <w:rPr>
          <w:rFonts w:ascii="David" w:hAnsi="David" w:cs="David"/>
          <w:sz w:val="24"/>
          <w:szCs w:val="24"/>
          <w:rtl/>
        </w:rPr>
        <w:t>כי יצא לפנסיה מוקדמת</w:t>
      </w:r>
      <w:r>
        <w:rPr>
          <w:rFonts w:ascii="David" w:hAnsi="David" w:cs="David"/>
          <w:sz w:val="24"/>
          <w:szCs w:val="24"/>
          <w:rtl/>
        </w:rPr>
        <w:t xml:space="preserve"> בשל מצבו הבריאותי</w:t>
      </w:r>
      <w:r>
        <w:rPr>
          <w:rFonts w:ascii="David" w:hAnsi="David" w:cs="David" w:hint="cs"/>
          <w:sz w:val="24"/>
          <w:szCs w:val="24"/>
          <w:rtl/>
        </w:rPr>
        <w:t>; תחילה בשנת 2008 ובעקבות החמרה במצב בריאותו הוא הועבר לעבודה בעל</w:t>
      </w:r>
      <w:r w:rsidR="00756E5C">
        <w:rPr>
          <w:rFonts w:ascii="David" w:hAnsi="David" w:cs="David" w:hint="cs"/>
          <w:sz w:val="24"/>
          <w:szCs w:val="24"/>
          <w:rtl/>
        </w:rPr>
        <w:t>ת</w:t>
      </w:r>
      <w:r>
        <w:rPr>
          <w:rFonts w:ascii="David" w:hAnsi="David" w:cs="David" w:hint="cs"/>
          <w:sz w:val="24"/>
          <w:szCs w:val="24"/>
          <w:rtl/>
        </w:rPr>
        <w:t xml:space="preserve"> אופי משרדי, ומאוחר יותר בעקבות תכנית התייעלות נסגרה תחנת העבודה בה עבד בשנים שלאחר 2008, דבר שהוביל לפרישתו מהעבודה. עוד טען, </w:t>
      </w:r>
      <w:r w:rsidR="00C26613">
        <w:rPr>
          <w:rFonts w:ascii="David" w:hAnsi="David" w:cs="David"/>
          <w:sz w:val="24"/>
          <w:szCs w:val="24"/>
          <w:rtl/>
        </w:rPr>
        <w:t>כי לא הוקדמו לו הזכויות הפנסיוניות שאותן צבר במהלך עבודתו</w:t>
      </w:r>
      <w:r w:rsidR="00B02B6C">
        <w:rPr>
          <w:rFonts w:ascii="David" w:hAnsi="David" w:cs="David"/>
          <w:sz w:val="24"/>
          <w:szCs w:val="24"/>
          <w:rtl/>
        </w:rPr>
        <w:t xml:space="preserve"> ולכן</w:t>
      </w:r>
      <w:r w:rsidR="00B02B6C">
        <w:rPr>
          <w:rFonts w:ascii="David" w:hAnsi="David" w:cs="David" w:hint="cs"/>
          <w:sz w:val="24"/>
          <w:szCs w:val="24"/>
          <w:rtl/>
        </w:rPr>
        <w:t xml:space="preserve">, </w:t>
      </w:r>
      <w:r w:rsidR="00C26613">
        <w:rPr>
          <w:rFonts w:ascii="David" w:hAnsi="David" w:cs="David"/>
          <w:sz w:val="24"/>
          <w:szCs w:val="24"/>
          <w:rtl/>
        </w:rPr>
        <w:t xml:space="preserve">אין ליישם </w:t>
      </w:r>
      <w:r w:rsidR="00893E93">
        <w:rPr>
          <w:rFonts w:ascii="David" w:hAnsi="David" w:cs="David" w:hint="cs"/>
          <w:sz w:val="24"/>
          <w:szCs w:val="24"/>
          <w:rtl/>
        </w:rPr>
        <w:t>על קצבה זו</w:t>
      </w:r>
      <w:r>
        <w:rPr>
          <w:rFonts w:ascii="David" w:hAnsi="David" w:cs="David" w:hint="cs"/>
          <w:sz w:val="24"/>
          <w:szCs w:val="24"/>
          <w:rtl/>
        </w:rPr>
        <w:t xml:space="preserve"> </w:t>
      </w:r>
      <w:r w:rsidR="00C26613">
        <w:rPr>
          <w:rFonts w:ascii="David" w:hAnsi="David" w:cs="David"/>
          <w:sz w:val="24"/>
          <w:szCs w:val="24"/>
          <w:rtl/>
        </w:rPr>
        <w:t xml:space="preserve">את הפסיקה הקובעת שדין פנסיה מוקדמת כדין פנסיה רגילה. </w:t>
      </w:r>
    </w:p>
    <w:p w:rsidR="0081085E" w:rsidRDefault="0081085E" w:rsidP="0081085E">
      <w:pPr>
        <w:pStyle w:val="ad"/>
        <w:spacing w:line="360" w:lineRule="auto"/>
        <w:jc w:val="both"/>
        <w:rPr>
          <w:rFonts w:ascii="David" w:hAnsi="David" w:cs="David"/>
          <w:sz w:val="24"/>
          <w:szCs w:val="24"/>
        </w:rPr>
      </w:pPr>
    </w:p>
    <w:p w:rsidR="0081085E" w:rsidRDefault="0081085E" w:rsidP="0081085E">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בית משפט קמא הורה למחלקה המשפטית של </w:t>
      </w:r>
      <w:r w:rsidR="001209B4">
        <w:rPr>
          <w:rFonts w:ascii="David" w:hAnsi="David" w:cs="David" w:hint="cs"/>
          <w:sz w:val="24"/>
          <w:szCs w:val="24"/>
          <w:rtl/>
        </w:rPr>
        <w:t>ח</w:t>
      </w:r>
      <w:r w:rsidR="001209B4">
        <w:rPr>
          <w:rFonts w:ascii="David" w:hAnsi="David" w:cs="David"/>
          <w:sz w:val="24"/>
          <w:szCs w:val="24"/>
          <w:rtl/>
        </w:rPr>
        <w:t>'</w:t>
      </w:r>
      <w:r w:rsidR="001209B4">
        <w:rPr>
          <w:rFonts w:ascii="David" w:hAnsi="David" w:cs="David" w:hint="cs"/>
          <w:sz w:val="24"/>
          <w:szCs w:val="24"/>
          <w:rtl/>
        </w:rPr>
        <w:t xml:space="preserve"> נ</w:t>
      </w:r>
      <w:r w:rsidR="001209B4">
        <w:rPr>
          <w:rFonts w:ascii="David" w:hAnsi="David" w:cs="David"/>
          <w:sz w:val="24"/>
          <w:szCs w:val="24"/>
          <w:rtl/>
        </w:rPr>
        <w:t>'</w:t>
      </w:r>
      <w:r>
        <w:rPr>
          <w:rFonts w:ascii="David" w:hAnsi="David" w:cs="David" w:hint="cs"/>
          <w:sz w:val="24"/>
          <w:szCs w:val="24"/>
          <w:rtl/>
        </w:rPr>
        <w:t xml:space="preserve"> להבהיר האם הפנסיה המשולמת למערער היא פנסיה רפואית, ולפניו</w:t>
      </w:r>
      <w:r w:rsidR="00893E93" w:rsidRPr="0081085E">
        <w:rPr>
          <w:rFonts w:ascii="David" w:hAnsi="David" w:cs="David" w:hint="cs"/>
          <w:sz w:val="24"/>
          <w:szCs w:val="24"/>
          <w:rtl/>
        </w:rPr>
        <w:t xml:space="preserve"> הוגשה </w:t>
      </w:r>
      <w:r w:rsidR="00C26613" w:rsidRPr="0081085E">
        <w:rPr>
          <w:rFonts w:ascii="David" w:hAnsi="David" w:cs="David"/>
          <w:sz w:val="24"/>
          <w:szCs w:val="24"/>
          <w:rtl/>
        </w:rPr>
        <w:t>התכתבות בין ב"כ המשיבה לבין המחל</w:t>
      </w:r>
      <w:r w:rsidRPr="0081085E">
        <w:rPr>
          <w:rFonts w:ascii="David" w:hAnsi="David" w:cs="David"/>
          <w:sz w:val="24"/>
          <w:szCs w:val="24"/>
          <w:rtl/>
        </w:rPr>
        <w:t xml:space="preserve">קה המשפטית של </w:t>
      </w:r>
      <w:r w:rsidR="001209B4">
        <w:rPr>
          <w:rFonts w:ascii="David" w:hAnsi="David" w:cs="David"/>
          <w:sz w:val="24"/>
          <w:szCs w:val="24"/>
          <w:rtl/>
        </w:rPr>
        <w:t>ח' נ'</w:t>
      </w:r>
      <w:r w:rsidRPr="0081085E">
        <w:rPr>
          <w:rFonts w:ascii="David" w:hAnsi="David" w:cs="David" w:hint="cs"/>
          <w:sz w:val="24"/>
          <w:szCs w:val="24"/>
          <w:rtl/>
        </w:rPr>
        <w:t xml:space="preserve">, </w:t>
      </w:r>
      <w:r w:rsidR="00C26613" w:rsidRPr="0081085E">
        <w:rPr>
          <w:rFonts w:ascii="David" w:hAnsi="David" w:cs="David"/>
          <w:sz w:val="24"/>
          <w:szCs w:val="24"/>
          <w:rtl/>
        </w:rPr>
        <w:t xml:space="preserve">במסגרתה הודיעה </w:t>
      </w:r>
      <w:r w:rsidRPr="0081085E">
        <w:rPr>
          <w:rFonts w:ascii="David" w:hAnsi="David" w:cs="David" w:hint="cs"/>
          <w:sz w:val="24"/>
          <w:szCs w:val="24"/>
          <w:rtl/>
        </w:rPr>
        <w:t xml:space="preserve">האחרונה </w:t>
      </w:r>
      <w:r w:rsidR="00C26613" w:rsidRPr="0081085E">
        <w:rPr>
          <w:rFonts w:ascii="David" w:hAnsi="David" w:cs="David"/>
          <w:sz w:val="24"/>
          <w:szCs w:val="24"/>
          <w:rtl/>
        </w:rPr>
        <w:t>כי בהתאם ל</w:t>
      </w:r>
      <w:r>
        <w:rPr>
          <w:rFonts w:ascii="David" w:hAnsi="David" w:cs="David"/>
          <w:sz w:val="24"/>
          <w:szCs w:val="24"/>
          <w:rtl/>
        </w:rPr>
        <w:t>מידע שנמסר לה</w:t>
      </w:r>
      <w:r w:rsidR="00B02B6C">
        <w:rPr>
          <w:rFonts w:ascii="David" w:hAnsi="David" w:cs="David" w:hint="cs"/>
          <w:sz w:val="24"/>
          <w:szCs w:val="24"/>
          <w:rtl/>
        </w:rPr>
        <w:t>,</w:t>
      </w:r>
      <w:r>
        <w:rPr>
          <w:rFonts w:ascii="David" w:hAnsi="David" w:cs="David"/>
          <w:sz w:val="24"/>
          <w:szCs w:val="24"/>
          <w:rtl/>
        </w:rPr>
        <w:t xml:space="preserve"> הפנסיה שמקבל </w:t>
      </w:r>
      <w:r>
        <w:rPr>
          <w:rFonts w:ascii="David" w:hAnsi="David" w:cs="David" w:hint="cs"/>
          <w:sz w:val="24"/>
          <w:szCs w:val="24"/>
          <w:rtl/>
        </w:rPr>
        <w:t>המערער</w:t>
      </w:r>
      <w:r w:rsidR="00C26613" w:rsidRPr="0081085E">
        <w:rPr>
          <w:rFonts w:ascii="David" w:hAnsi="David" w:cs="David"/>
          <w:sz w:val="24"/>
          <w:szCs w:val="24"/>
          <w:rtl/>
        </w:rPr>
        <w:t xml:space="preserve"> אינה פנסיה רפ</w:t>
      </w:r>
      <w:r>
        <w:rPr>
          <w:rFonts w:ascii="David" w:hAnsi="David" w:cs="David"/>
          <w:sz w:val="24"/>
          <w:szCs w:val="24"/>
          <w:rtl/>
        </w:rPr>
        <w:t xml:space="preserve">ואית. </w:t>
      </w:r>
    </w:p>
    <w:p w:rsidR="00E5215E" w:rsidRPr="00E5215E" w:rsidRDefault="00E5215E" w:rsidP="00E5215E">
      <w:pPr>
        <w:pStyle w:val="ad"/>
        <w:rPr>
          <w:rFonts w:ascii="David" w:hAnsi="David" w:cs="David"/>
          <w:sz w:val="24"/>
          <w:szCs w:val="24"/>
          <w:rtl/>
        </w:rPr>
      </w:pPr>
    </w:p>
    <w:p w:rsidR="0081085E" w:rsidRPr="00E5215E" w:rsidRDefault="00E5215E" w:rsidP="00E5215E">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הוגשו תצהירי עדות ראשית ובהמשך נחקרו הצדדים על תצהיריהם והוגשו סיכומים. </w:t>
      </w:r>
      <w:r w:rsidR="0081085E" w:rsidRPr="00E5215E">
        <w:rPr>
          <w:rFonts w:ascii="David" w:hAnsi="David" w:cs="David" w:hint="cs"/>
          <w:sz w:val="24"/>
          <w:szCs w:val="24"/>
          <w:rtl/>
        </w:rPr>
        <w:t xml:space="preserve">המשיבה </w:t>
      </w:r>
      <w:r>
        <w:rPr>
          <w:rFonts w:ascii="David" w:hAnsi="David" w:cs="David" w:hint="cs"/>
          <w:sz w:val="24"/>
          <w:szCs w:val="24"/>
          <w:rtl/>
        </w:rPr>
        <w:t>טענה</w:t>
      </w:r>
      <w:r w:rsidR="00B02B6C">
        <w:rPr>
          <w:rFonts w:ascii="David" w:hAnsi="David" w:cs="David" w:hint="cs"/>
          <w:sz w:val="24"/>
          <w:szCs w:val="24"/>
          <w:rtl/>
        </w:rPr>
        <w:t>,</w:t>
      </w:r>
      <w:r>
        <w:rPr>
          <w:rFonts w:ascii="David" w:hAnsi="David" w:cs="David" w:hint="cs"/>
          <w:sz w:val="24"/>
          <w:szCs w:val="24"/>
          <w:rtl/>
        </w:rPr>
        <w:t xml:space="preserve"> </w:t>
      </w:r>
      <w:r w:rsidR="0081085E" w:rsidRPr="00E5215E">
        <w:rPr>
          <w:rFonts w:ascii="David" w:hAnsi="David" w:cs="David" w:hint="cs"/>
          <w:sz w:val="24"/>
          <w:szCs w:val="24"/>
          <w:rtl/>
        </w:rPr>
        <w:t xml:space="preserve">כי </w:t>
      </w:r>
      <w:r>
        <w:rPr>
          <w:rFonts w:ascii="David" w:hAnsi="David" w:cs="David"/>
          <w:sz w:val="24"/>
          <w:szCs w:val="24"/>
          <w:rtl/>
        </w:rPr>
        <w:t>די</w:t>
      </w:r>
      <w:r>
        <w:rPr>
          <w:rFonts w:ascii="David" w:hAnsi="David" w:cs="David" w:hint="cs"/>
          <w:sz w:val="24"/>
          <w:szCs w:val="24"/>
          <w:rtl/>
        </w:rPr>
        <w:t xml:space="preserve"> בתכתובת שהוגשה ועמדת </w:t>
      </w:r>
      <w:r w:rsidR="001209B4">
        <w:rPr>
          <w:rFonts w:ascii="David" w:hAnsi="David" w:cs="David" w:hint="cs"/>
          <w:sz w:val="24"/>
          <w:szCs w:val="24"/>
          <w:rtl/>
        </w:rPr>
        <w:t>ח</w:t>
      </w:r>
      <w:r w:rsidR="001209B4">
        <w:rPr>
          <w:rFonts w:ascii="David" w:hAnsi="David" w:cs="David"/>
          <w:sz w:val="24"/>
          <w:szCs w:val="24"/>
          <w:rtl/>
        </w:rPr>
        <w:t>'</w:t>
      </w:r>
      <w:r w:rsidR="001209B4">
        <w:rPr>
          <w:rFonts w:ascii="David" w:hAnsi="David" w:cs="David" w:hint="cs"/>
          <w:sz w:val="24"/>
          <w:szCs w:val="24"/>
          <w:rtl/>
        </w:rPr>
        <w:t xml:space="preserve"> נ</w:t>
      </w:r>
      <w:r w:rsidR="001209B4">
        <w:rPr>
          <w:rFonts w:ascii="David" w:hAnsi="David" w:cs="David"/>
          <w:sz w:val="24"/>
          <w:szCs w:val="24"/>
          <w:rtl/>
        </w:rPr>
        <w:t>'</w:t>
      </w:r>
      <w:r>
        <w:rPr>
          <w:rFonts w:ascii="David" w:hAnsi="David" w:cs="David" w:hint="cs"/>
          <w:sz w:val="24"/>
          <w:szCs w:val="24"/>
          <w:rtl/>
        </w:rPr>
        <w:t xml:space="preserve"> שהובאה שם</w:t>
      </w:r>
      <w:r w:rsidR="0081085E" w:rsidRPr="00E5215E">
        <w:rPr>
          <w:rFonts w:ascii="David" w:hAnsi="David" w:cs="David"/>
          <w:sz w:val="24"/>
          <w:szCs w:val="24"/>
          <w:rtl/>
        </w:rPr>
        <w:t xml:space="preserve"> כדי לקבוע </w:t>
      </w:r>
      <w:r w:rsidR="0081085E" w:rsidRPr="00E5215E">
        <w:rPr>
          <w:rFonts w:ascii="David" w:hAnsi="David" w:cs="David" w:hint="cs"/>
          <w:sz w:val="24"/>
          <w:szCs w:val="24"/>
          <w:rtl/>
        </w:rPr>
        <w:t>זכאותה</w:t>
      </w:r>
      <w:r w:rsidR="0081085E" w:rsidRPr="00E5215E">
        <w:rPr>
          <w:rFonts w:ascii="David" w:hAnsi="David" w:cs="David"/>
          <w:sz w:val="24"/>
          <w:szCs w:val="24"/>
          <w:rtl/>
        </w:rPr>
        <w:t xml:space="preserve"> לקבל את חלקה בפנסיה של </w:t>
      </w:r>
      <w:r w:rsidR="0081085E" w:rsidRPr="00E5215E">
        <w:rPr>
          <w:rFonts w:ascii="David" w:hAnsi="David" w:cs="David" w:hint="cs"/>
          <w:sz w:val="24"/>
          <w:szCs w:val="24"/>
          <w:rtl/>
        </w:rPr>
        <w:t>המערער</w:t>
      </w:r>
      <w:r w:rsidR="0081085E" w:rsidRPr="00E5215E">
        <w:rPr>
          <w:rFonts w:ascii="David" w:hAnsi="David" w:cs="David"/>
          <w:sz w:val="24"/>
          <w:szCs w:val="24"/>
          <w:rtl/>
        </w:rPr>
        <w:t xml:space="preserve"> החל מיום 29.02.2020. לטענתה, </w:t>
      </w:r>
      <w:r w:rsidR="00C26613" w:rsidRPr="00E5215E">
        <w:rPr>
          <w:rFonts w:ascii="David" w:hAnsi="David" w:cs="David"/>
          <w:sz w:val="24"/>
          <w:szCs w:val="24"/>
          <w:rtl/>
        </w:rPr>
        <w:t>הסכם</w:t>
      </w:r>
      <w:r w:rsidR="0081085E" w:rsidRPr="00E5215E">
        <w:rPr>
          <w:rFonts w:ascii="David" w:hAnsi="David" w:cs="David" w:hint="cs"/>
          <w:sz w:val="24"/>
          <w:szCs w:val="24"/>
          <w:rtl/>
        </w:rPr>
        <w:t xml:space="preserve"> הגירושין</w:t>
      </w:r>
      <w:r>
        <w:rPr>
          <w:rFonts w:ascii="David" w:hAnsi="David" w:cs="David"/>
          <w:sz w:val="24"/>
          <w:szCs w:val="24"/>
          <w:rtl/>
        </w:rPr>
        <w:t xml:space="preserve"> קבע כי </w:t>
      </w:r>
      <w:r>
        <w:rPr>
          <w:rFonts w:ascii="David" w:hAnsi="David" w:cs="David" w:hint="cs"/>
          <w:sz w:val="24"/>
          <w:szCs w:val="24"/>
          <w:rtl/>
        </w:rPr>
        <w:t xml:space="preserve">האשה </w:t>
      </w:r>
      <w:r w:rsidR="00C26613" w:rsidRPr="00E5215E">
        <w:rPr>
          <w:rFonts w:ascii="David" w:hAnsi="David" w:cs="David"/>
          <w:sz w:val="24"/>
          <w:szCs w:val="24"/>
          <w:rtl/>
        </w:rPr>
        <w:t>תתחיל לקבל חלק מהפנסיה של הבעל עם פרישתו לגמלאות. עוד הוסיפה כי פרי</w:t>
      </w:r>
      <w:r>
        <w:rPr>
          <w:rFonts w:ascii="David" w:hAnsi="David" w:cs="David"/>
          <w:sz w:val="24"/>
          <w:szCs w:val="24"/>
          <w:rtl/>
        </w:rPr>
        <w:t>שתו של ה</w:t>
      </w:r>
      <w:r>
        <w:rPr>
          <w:rFonts w:ascii="David" w:hAnsi="David" w:cs="David" w:hint="cs"/>
          <w:sz w:val="24"/>
          <w:szCs w:val="24"/>
          <w:rtl/>
        </w:rPr>
        <w:t>מערער</w:t>
      </w:r>
      <w:r w:rsidR="00C26613" w:rsidRPr="00E5215E">
        <w:rPr>
          <w:rFonts w:ascii="David" w:hAnsi="David" w:cs="David"/>
          <w:sz w:val="24"/>
          <w:szCs w:val="24"/>
          <w:rtl/>
        </w:rPr>
        <w:t xml:space="preserve"> בשנת 2020 לא נבעה ממגבלה רפואית אלא מהליכי ייע</w:t>
      </w:r>
      <w:r>
        <w:rPr>
          <w:rFonts w:ascii="David" w:hAnsi="David" w:cs="David"/>
          <w:sz w:val="24"/>
          <w:szCs w:val="24"/>
          <w:rtl/>
        </w:rPr>
        <w:t>ול וסגירת תחנת העבודה בה עבד וכ</w:t>
      </w:r>
      <w:r>
        <w:rPr>
          <w:rFonts w:ascii="David" w:hAnsi="David" w:cs="David" w:hint="cs"/>
          <w:sz w:val="24"/>
          <w:szCs w:val="24"/>
          <w:rtl/>
        </w:rPr>
        <w:t>י</w:t>
      </w:r>
      <w:r w:rsidR="00C26613" w:rsidRPr="00E5215E">
        <w:rPr>
          <w:rFonts w:ascii="David" w:hAnsi="David" w:cs="David"/>
          <w:sz w:val="24"/>
          <w:szCs w:val="24"/>
          <w:rtl/>
        </w:rPr>
        <w:t xml:space="preserve"> היה יכול להמשיך ולעבוד בנמל באותה העת. </w:t>
      </w:r>
    </w:p>
    <w:p w:rsidR="0081085E" w:rsidRPr="00E5215E" w:rsidRDefault="0081085E" w:rsidP="0081085E">
      <w:pPr>
        <w:spacing w:line="360" w:lineRule="auto"/>
        <w:jc w:val="both"/>
        <w:rPr>
          <w:rFonts w:ascii="David" w:hAnsi="David"/>
        </w:rPr>
      </w:pPr>
    </w:p>
    <w:p w:rsidR="00C26613" w:rsidRDefault="00E5215E" w:rsidP="00C26613">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מנגד טען </w:t>
      </w:r>
      <w:r>
        <w:rPr>
          <w:rFonts w:ascii="David" w:hAnsi="David" w:cs="David"/>
          <w:sz w:val="24"/>
          <w:szCs w:val="24"/>
          <w:rtl/>
        </w:rPr>
        <w:t>המערער</w:t>
      </w:r>
      <w:r w:rsidR="0081085E">
        <w:rPr>
          <w:rFonts w:ascii="David" w:hAnsi="David" w:cs="David" w:hint="cs"/>
          <w:sz w:val="24"/>
          <w:szCs w:val="24"/>
          <w:rtl/>
        </w:rPr>
        <w:t xml:space="preserve"> </w:t>
      </w:r>
      <w:r w:rsidR="00C26613">
        <w:rPr>
          <w:rFonts w:ascii="David" w:hAnsi="David" w:cs="David"/>
          <w:sz w:val="24"/>
          <w:szCs w:val="24"/>
          <w:rtl/>
        </w:rPr>
        <w:t xml:space="preserve">בבית משפט קמא, </w:t>
      </w:r>
      <w:r w:rsidR="0081085E">
        <w:rPr>
          <w:rFonts w:ascii="David" w:hAnsi="David" w:cs="David" w:hint="cs"/>
          <w:sz w:val="24"/>
          <w:szCs w:val="24"/>
          <w:rtl/>
        </w:rPr>
        <w:t xml:space="preserve">כי </w:t>
      </w:r>
      <w:r w:rsidR="00C26613">
        <w:rPr>
          <w:rFonts w:ascii="David" w:hAnsi="David" w:cs="David"/>
          <w:sz w:val="24"/>
          <w:szCs w:val="24"/>
          <w:rtl/>
        </w:rPr>
        <w:t>יש להבחין בין קצבת פרישה מוקדמת בשל החלטה של העובד או המעביד לבין קצ</w:t>
      </w:r>
      <w:r w:rsidR="0081085E">
        <w:rPr>
          <w:rFonts w:ascii="David" w:hAnsi="David" w:cs="David" w:hint="cs"/>
          <w:sz w:val="24"/>
          <w:szCs w:val="24"/>
          <w:rtl/>
        </w:rPr>
        <w:t>ב</w:t>
      </w:r>
      <w:r w:rsidR="00C26613">
        <w:rPr>
          <w:rFonts w:ascii="David" w:hAnsi="David" w:cs="David"/>
          <w:sz w:val="24"/>
          <w:szCs w:val="24"/>
          <w:rtl/>
        </w:rPr>
        <w:t>ת פרישה מוקדמת בשל מצב בריאותי לקוי. לטענתו, אבחנה זו קיימת בסעיף 14ב'(2) לחוק לחלוקת חיסכון פנסיוני בין בני זוג שנ</w:t>
      </w:r>
      <w:r w:rsidR="0081085E">
        <w:rPr>
          <w:rFonts w:ascii="David" w:hAnsi="David" w:cs="David"/>
          <w:sz w:val="24"/>
          <w:szCs w:val="24"/>
          <w:rtl/>
        </w:rPr>
        <w:t>פרדו, תשע"ד-2014</w:t>
      </w:r>
      <w:r w:rsidR="00B02B6C">
        <w:rPr>
          <w:rFonts w:ascii="David" w:hAnsi="David" w:cs="David" w:hint="cs"/>
          <w:sz w:val="24"/>
          <w:szCs w:val="24"/>
          <w:rtl/>
        </w:rPr>
        <w:t xml:space="preserve"> (</w:t>
      </w:r>
      <w:r w:rsidR="003D66EC">
        <w:rPr>
          <w:rFonts w:ascii="David" w:hAnsi="David" w:cs="David" w:hint="cs"/>
          <w:sz w:val="24"/>
          <w:szCs w:val="24"/>
          <w:rtl/>
        </w:rPr>
        <w:t xml:space="preserve"> </w:t>
      </w:r>
      <w:r w:rsidR="00B02B6C">
        <w:rPr>
          <w:rFonts w:ascii="David" w:hAnsi="David" w:cs="David" w:hint="cs"/>
          <w:sz w:val="24"/>
          <w:szCs w:val="24"/>
          <w:rtl/>
        </w:rPr>
        <w:t xml:space="preserve">(להלן: </w:t>
      </w:r>
      <w:r w:rsidR="00B02B6C" w:rsidRPr="004465B6">
        <w:rPr>
          <w:rFonts w:ascii="David" w:hAnsi="David" w:cs="David" w:hint="cs"/>
          <w:b/>
          <w:bCs/>
          <w:sz w:val="24"/>
          <w:szCs w:val="24"/>
          <w:rtl/>
        </w:rPr>
        <w:t>"חוק לחלוקת חיסכון פנסיוני"</w:t>
      </w:r>
      <w:r w:rsidR="00B02B6C">
        <w:rPr>
          <w:rFonts w:ascii="David" w:hAnsi="David" w:cs="David" w:hint="cs"/>
          <w:sz w:val="24"/>
          <w:szCs w:val="24"/>
          <w:rtl/>
        </w:rPr>
        <w:t xml:space="preserve">), </w:t>
      </w:r>
      <w:r w:rsidR="003D66EC">
        <w:rPr>
          <w:rFonts w:ascii="David" w:hAnsi="David" w:cs="David" w:hint="cs"/>
          <w:sz w:val="24"/>
          <w:szCs w:val="24"/>
          <w:rtl/>
        </w:rPr>
        <w:t>ו</w:t>
      </w:r>
      <w:r w:rsidR="0081085E">
        <w:rPr>
          <w:rFonts w:ascii="David" w:hAnsi="David" w:cs="David" w:hint="cs"/>
          <w:sz w:val="24"/>
          <w:szCs w:val="24"/>
          <w:rtl/>
        </w:rPr>
        <w:t xml:space="preserve">כי </w:t>
      </w:r>
      <w:r w:rsidR="00C26613">
        <w:rPr>
          <w:rFonts w:ascii="David" w:hAnsi="David" w:cs="David"/>
          <w:sz w:val="24"/>
          <w:szCs w:val="24"/>
          <w:rtl/>
        </w:rPr>
        <w:t>מדובר בתחליף שכר שאין מקום לאפשר</w:t>
      </w:r>
      <w:r w:rsidR="0081085E">
        <w:rPr>
          <w:rFonts w:ascii="David" w:hAnsi="David" w:cs="David"/>
          <w:sz w:val="24"/>
          <w:szCs w:val="24"/>
          <w:rtl/>
        </w:rPr>
        <w:t xml:space="preserve"> למשיבה לקבל חלק ממנו</w:t>
      </w:r>
      <w:r w:rsidR="003D66EC">
        <w:rPr>
          <w:rFonts w:ascii="David" w:hAnsi="David" w:cs="David" w:hint="cs"/>
          <w:sz w:val="24"/>
          <w:szCs w:val="24"/>
          <w:rtl/>
        </w:rPr>
        <w:t xml:space="preserve">. עוד טען, </w:t>
      </w:r>
      <w:r w:rsidR="0081085E">
        <w:rPr>
          <w:rFonts w:ascii="David" w:hAnsi="David" w:cs="David"/>
          <w:sz w:val="24"/>
          <w:szCs w:val="24"/>
          <w:rtl/>
        </w:rPr>
        <w:t>כי ה</w:t>
      </w:r>
      <w:r w:rsidR="003D66EC">
        <w:rPr>
          <w:rFonts w:ascii="David" w:hAnsi="David" w:cs="David" w:hint="cs"/>
          <w:sz w:val="24"/>
          <w:szCs w:val="24"/>
          <w:rtl/>
        </w:rPr>
        <w:t>סכם הגירושין</w:t>
      </w:r>
      <w:r w:rsidR="0081085E">
        <w:rPr>
          <w:rFonts w:ascii="David" w:hAnsi="David" w:cs="David"/>
          <w:sz w:val="24"/>
          <w:szCs w:val="24"/>
          <w:rtl/>
        </w:rPr>
        <w:t xml:space="preserve"> </w:t>
      </w:r>
      <w:r w:rsidR="00C26613">
        <w:rPr>
          <w:rFonts w:ascii="David" w:hAnsi="David" w:cs="David"/>
          <w:sz w:val="24"/>
          <w:szCs w:val="24"/>
          <w:rtl/>
        </w:rPr>
        <w:t xml:space="preserve">לא התייחס ליציאה לפנסיה מוקדמת או להפסקת עבודה </w:t>
      </w:r>
      <w:r w:rsidR="0081085E">
        <w:rPr>
          <w:rFonts w:ascii="David" w:hAnsi="David" w:cs="David"/>
          <w:sz w:val="24"/>
          <w:szCs w:val="24"/>
          <w:rtl/>
        </w:rPr>
        <w:t>מסיבות רפואיות. לחילופין</w:t>
      </w:r>
      <w:r w:rsidR="0081085E">
        <w:rPr>
          <w:rFonts w:ascii="David" w:hAnsi="David" w:cs="David" w:hint="cs"/>
          <w:sz w:val="24"/>
          <w:szCs w:val="24"/>
          <w:rtl/>
        </w:rPr>
        <w:t xml:space="preserve"> טען</w:t>
      </w:r>
      <w:r w:rsidR="00C26613">
        <w:rPr>
          <w:rFonts w:ascii="David" w:hAnsi="David" w:cs="David"/>
          <w:sz w:val="24"/>
          <w:szCs w:val="24"/>
          <w:rtl/>
        </w:rPr>
        <w:t xml:space="preserve">, </w:t>
      </w:r>
      <w:r w:rsidR="0081085E">
        <w:rPr>
          <w:rFonts w:ascii="David" w:hAnsi="David" w:cs="David" w:hint="cs"/>
          <w:sz w:val="24"/>
          <w:szCs w:val="24"/>
          <w:rtl/>
        </w:rPr>
        <w:t xml:space="preserve">כי </w:t>
      </w:r>
      <w:r w:rsidR="00C26613">
        <w:rPr>
          <w:rFonts w:ascii="David" w:hAnsi="David" w:cs="David"/>
          <w:sz w:val="24"/>
          <w:szCs w:val="24"/>
          <w:rtl/>
        </w:rPr>
        <w:t>יש לעשות שימוש בסעיף 8(2) של חוק יחסי ממון בין בני זוג, תשל"ג-1973</w:t>
      </w:r>
      <w:r w:rsidR="00B02B6C">
        <w:rPr>
          <w:rFonts w:ascii="David" w:hAnsi="David" w:cs="David" w:hint="cs"/>
          <w:sz w:val="24"/>
          <w:szCs w:val="24"/>
          <w:rtl/>
        </w:rPr>
        <w:t xml:space="preserve"> (להלן: </w:t>
      </w:r>
      <w:r w:rsidR="00B02B6C" w:rsidRPr="00B02B6C">
        <w:rPr>
          <w:rFonts w:ascii="David" w:hAnsi="David" w:cs="David" w:hint="cs"/>
          <w:b/>
          <w:bCs/>
          <w:sz w:val="24"/>
          <w:szCs w:val="24"/>
          <w:rtl/>
        </w:rPr>
        <w:t>"חוק יחסי ממון בין בני זוג"</w:t>
      </w:r>
      <w:r w:rsidR="00B02B6C">
        <w:rPr>
          <w:rFonts w:ascii="David" w:hAnsi="David" w:cs="David" w:hint="cs"/>
          <w:sz w:val="24"/>
          <w:szCs w:val="24"/>
          <w:rtl/>
        </w:rPr>
        <w:t>)</w:t>
      </w:r>
      <w:r w:rsidR="00C26613">
        <w:rPr>
          <w:rFonts w:ascii="David" w:hAnsi="David" w:cs="David"/>
          <w:sz w:val="24"/>
          <w:szCs w:val="24"/>
          <w:rtl/>
        </w:rPr>
        <w:t>, ולבצע קיזוז פנסיות בעזרת אקטואר.</w:t>
      </w:r>
    </w:p>
    <w:p w:rsidR="0081085E" w:rsidRDefault="0081085E" w:rsidP="0081085E">
      <w:pPr>
        <w:pStyle w:val="ad"/>
        <w:spacing w:line="360" w:lineRule="auto"/>
        <w:jc w:val="both"/>
        <w:rPr>
          <w:rFonts w:ascii="David" w:hAnsi="David" w:cs="David"/>
          <w:sz w:val="24"/>
          <w:szCs w:val="24"/>
          <w:rtl/>
        </w:rPr>
      </w:pPr>
    </w:p>
    <w:p w:rsidR="00756E5C" w:rsidRPr="00756E5C" w:rsidRDefault="00756E5C" w:rsidP="0081085E">
      <w:pPr>
        <w:pStyle w:val="ad"/>
        <w:spacing w:line="360" w:lineRule="auto"/>
        <w:jc w:val="both"/>
        <w:rPr>
          <w:rFonts w:ascii="David" w:hAnsi="David" w:cs="David"/>
          <w:b/>
          <w:bCs/>
          <w:sz w:val="24"/>
          <w:szCs w:val="24"/>
          <w:u w:val="single"/>
        </w:rPr>
      </w:pPr>
      <w:r w:rsidRPr="00756E5C">
        <w:rPr>
          <w:rFonts w:ascii="David" w:hAnsi="David" w:cs="David" w:hint="cs"/>
          <w:b/>
          <w:bCs/>
          <w:sz w:val="24"/>
          <w:szCs w:val="24"/>
          <w:u w:val="single"/>
          <w:rtl/>
        </w:rPr>
        <w:t>הכרעת בית משפט קמא</w:t>
      </w:r>
    </w:p>
    <w:p w:rsidR="00756E5C" w:rsidRDefault="0081085E" w:rsidP="00C26613">
      <w:pPr>
        <w:pStyle w:val="ad"/>
        <w:numPr>
          <w:ilvl w:val="0"/>
          <w:numId w:val="1"/>
        </w:numPr>
        <w:spacing w:line="360" w:lineRule="auto"/>
        <w:jc w:val="both"/>
        <w:rPr>
          <w:rFonts w:ascii="David" w:hAnsi="David" w:cs="David"/>
          <w:sz w:val="24"/>
          <w:szCs w:val="24"/>
        </w:rPr>
      </w:pPr>
      <w:r>
        <w:rPr>
          <w:rFonts w:ascii="David" w:hAnsi="David" w:cs="David"/>
          <w:sz w:val="24"/>
          <w:szCs w:val="24"/>
          <w:rtl/>
        </w:rPr>
        <w:t>ביום 10.07.2022 נית</w:t>
      </w:r>
      <w:r>
        <w:rPr>
          <w:rFonts w:ascii="David" w:hAnsi="David" w:cs="David" w:hint="cs"/>
          <w:sz w:val="24"/>
          <w:szCs w:val="24"/>
          <w:rtl/>
        </w:rPr>
        <w:t>ן פסק דינו של</w:t>
      </w:r>
      <w:r w:rsidR="00C26613">
        <w:rPr>
          <w:rFonts w:ascii="David" w:hAnsi="David" w:cs="David"/>
          <w:sz w:val="24"/>
          <w:szCs w:val="24"/>
          <w:rtl/>
        </w:rPr>
        <w:t xml:space="preserve"> בית משפט קמא </w:t>
      </w:r>
      <w:r>
        <w:rPr>
          <w:rFonts w:ascii="David" w:hAnsi="David" w:cs="David" w:hint="cs"/>
          <w:sz w:val="24"/>
          <w:szCs w:val="24"/>
          <w:rtl/>
        </w:rPr>
        <w:t>אשר קיבל תביעת המשיבה</w:t>
      </w:r>
      <w:r>
        <w:rPr>
          <w:rFonts w:ascii="David" w:hAnsi="David" w:cs="David"/>
          <w:sz w:val="24"/>
          <w:szCs w:val="24"/>
          <w:rtl/>
        </w:rPr>
        <w:t xml:space="preserve"> וקבע</w:t>
      </w:r>
      <w:r w:rsidR="00B02B6C">
        <w:rPr>
          <w:rFonts w:ascii="David" w:hAnsi="David" w:cs="David" w:hint="cs"/>
          <w:sz w:val="24"/>
          <w:szCs w:val="24"/>
          <w:rtl/>
        </w:rPr>
        <w:t>,</w:t>
      </w:r>
      <w:r>
        <w:rPr>
          <w:rFonts w:ascii="David" w:hAnsi="David" w:cs="David"/>
          <w:sz w:val="24"/>
          <w:szCs w:val="24"/>
          <w:rtl/>
        </w:rPr>
        <w:t xml:space="preserve"> כי </w:t>
      </w:r>
      <w:r>
        <w:rPr>
          <w:rFonts w:ascii="David" w:hAnsi="David" w:cs="David" w:hint="cs"/>
          <w:sz w:val="24"/>
          <w:szCs w:val="24"/>
          <w:rtl/>
        </w:rPr>
        <w:t xml:space="preserve">היא </w:t>
      </w:r>
      <w:r>
        <w:rPr>
          <w:rFonts w:ascii="David" w:hAnsi="David" w:cs="David"/>
          <w:sz w:val="24"/>
          <w:szCs w:val="24"/>
          <w:rtl/>
        </w:rPr>
        <w:t>זכאית לחלק מהפנסיה של ה</w:t>
      </w:r>
      <w:r>
        <w:rPr>
          <w:rFonts w:ascii="David" w:hAnsi="David" w:cs="David" w:hint="cs"/>
          <w:sz w:val="24"/>
          <w:szCs w:val="24"/>
          <w:rtl/>
        </w:rPr>
        <w:t xml:space="preserve">מערער </w:t>
      </w:r>
      <w:r>
        <w:rPr>
          <w:rFonts w:ascii="David" w:hAnsi="David" w:cs="David"/>
          <w:sz w:val="24"/>
          <w:szCs w:val="24"/>
          <w:rtl/>
        </w:rPr>
        <w:t>החל ממועד פרישתו בפועל</w:t>
      </w:r>
      <w:r>
        <w:rPr>
          <w:rFonts w:ascii="David" w:hAnsi="David" w:cs="David" w:hint="cs"/>
          <w:sz w:val="24"/>
          <w:szCs w:val="24"/>
          <w:rtl/>
        </w:rPr>
        <w:t xml:space="preserve"> ביום </w:t>
      </w:r>
      <w:r>
        <w:rPr>
          <w:rFonts w:ascii="David" w:hAnsi="David" w:cs="David"/>
          <w:sz w:val="24"/>
          <w:szCs w:val="24"/>
          <w:rtl/>
        </w:rPr>
        <w:t xml:space="preserve">29.02.2020. </w:t>
      </w:r>
      <w:r w:rsidR="00C26613">
        <w:rPr>
          <w:rFonts w:ascii="David" w:hAnsi="David" w:cs="David"/>
          <w:sz w:val="24"/>
          <w:szCs w:val="24"/>
          <w:rtl/>
        </w:rPr>
        <w:t xml:space="preserve"> </w:t>
      </w:r>
      <w:r>
        <w:rPr>
          <w:rFonts w:ascii="David" w:hAnsi="David" w:cs="David" w:hint="cs"/>
          <w:sz w:val="24"/>
          <w:szCs w:val="24"/>
          <w:rtl/>
        </w:rPr>
        <w:t>בית משפט קמא נימק הכרעתו בכך ש</w:t>
      </w:r>
      <w:r w:rsidR="00C26613">
        <w:rPr>
          <w:rFonts w:ascii="David" w:hAnsi="David" w:cs="David"/>
          <w:sz w:val="24"/>
          <w:szCs w:val="24"/>
          <w:rtl/>
        </w:rPr>
        <w:t xml:space="preserve">שאלת זכאות המשיבה לחלק מהפנסיה המוקדמת נגזרת </w:t>
      </w:r>
      <w:r>
        <w:rPr>
          <w:rFonts w:ascii="David" w:hAnsi="David" w:cs="David"/>
          <w:sz w:val="24"/>
          <w:szCs w:val="24"/>
          <w:rtl/>
        </w:rPr>
        <w:t>מהשאלה האם מדובר בפנסיה רפואית</w:t>
      </w:r>
      <w:r w:rsidR="00756E5C">
        <w:rPr>
          <w:rFonts w:ascii="David" w:hAnsi="David" w:cs="David" w:hint="cs"/>
          <w:sz w:val="24"/>
          <w:szCs w:val="24"/>
          <w:rtl/>
        </w:rPr>
        <w:t>. בית משפט קמא הפנה לקביעותיו מן העבר במסגרת התדיינות קודמת בין הצדדים ב-תלה"מ 20640-12-19 ולפסק דינו מיום 22.10.2020 שניתן באותו הליך קודם, שם נפסק</w:t>
      </w:r>
      <w:r w:rsidR="00B02B6C">
        <w:rPr>
          <w:rFonts w:ascii="David" w:hAnsi="David" w:cs="David" w:hint="cs"/>
          <w:sz w:val="24"/>
          <w:szCs w:val="24"/>
          <w:rtl/>
        </w:rPr>
        <w:t>,</w:t>
      </w:r>
      <w:r w:rsidR="00756E5C">
        <w:rPr>
          <w:rFonts w:ascii="David" w:hAnsi="David" w:cs="David" w:hint="cs"/>
          <w:sz w:val="24"/>
          <w:szCs w:val="24"/>
          <w:rtl/>
        </w:rPr>
        <w:t xml:space="preserve"> כי זכאות המשיבה לחלק מהפנסיה המוקדמת תוכרע על פי שאלה זו, היינו</w:t>
      </w:r>
      <w:r w:rsidR="00B02B6C">
        <w:rPr>
          <w:rFonts w:ascii="David" w:hAnsi="David" w:cs="David" w:hint="cs"/>
          <w:sz w:val="24"/>
          <w:szCs w:val="24"/>
          <w:rtl/>
        </w:rPr>
        <w:t>,</w:t>
      </w:r>
      <w:r w:rsidR="00756E5C">
        <w:rPr>
          <w:rFonts w:ascii="David" w:hAnsi="David" w:cs="David" w:hint="cs"/>
          <w:sz w:val="24"/>
          <w:szCs w:val="24"/>
          <w:rtl/>
        </w:rPr>
        <w:t xml:space="preserve"> האם עסקינן בפנסיה רפואית, כי אז היא אינה זכאית לחלק ממנה, ואם בפנסיה שאינה רפואית</w:t>
      </w:r>
      <w:r w:rsidR="00B02B6C">
        <w:rPr>
          <w:rFonts w:ascii="David" w:hAnsi="David" w:cs="David" w:hint="cs"/>
          <w:sz w:val="24"/>
          <w:szCs w:val="24"/>
          <w:rtl/>
        </w:rPr>
        <w:t>,</w:t>
      </w:r>
      <w:r w:rsidR="00756E5C">
        <w:rPr>
          <w:rFonts w:ascii="David" w:hAnsi="David" w:cs="David" w:hint="cs"/>
          <w:sz w:val="24"/>
          <w:szCs w:val="24"/>
          <w:rtl/>
        </w:rPr>
        <w:t xml:space="preserve"> כי אז תהא זכאית לחלק ממנה החל מיום פרישת המערער מעבודתו ב-29.02.2020. </w:t>
      </w:r>
    </w:p>
    <w:p w:rsidR="00756E5C" w:rsidRPr="00756E5C" w:rsidRDefault="00756E5C" w:rsidP="00756E5C">
      <w:pPr>
        <w:pStyle w:val="ad"/>
        <w:rPr>
          <w:rFonts w:ascii="David" w:hAnsi="David" w:cs="David"/>
          <w:sz w:val="24"/>
          <w:szCs w:val="24"/>
          <w:rtl/>
        </w:rPr>
      </w:pPr>
    </w:p>
    <w:p w:rsidR="00756E5C" w:rsidRDefault="00756E5C" w:rsidP="00756E5C">
      <w:pPr>
        <w:pStyle w:val="ad"/>
        <w:spacing w:line="360" w:lineRule="auto"/>
        <w:jc w:val="both"/>
        <w:rPr>
          <w:rFonts w:ascii="David" w:hAnsi="David" w:cs="David"/>
          <w:sz w:val="24"/>
          <w:szCs w:val="24"/>
          <w:rtl/>
        </w:rPr>
      </w:pPr>
      <w:r>
        <w:rPr>
          <w:rFonts w:ascii="David" w:hAnsi="David" w:cs="David" w:hint="cs"/>
          <w:sz w:val="24"/>
          <w:szCs w:val="24"/>
          <w:rtl/>
        </w:rPr>
        <w:t xml:space="preserve">עוד נקבע </w:t>
      </w:r>
      <w:r w:rsidR="0081085E">
        <w:rPr>
          <w:rFonts w:ascii="David" w:hAnsi="David" w:cs="David" w:hint="cs"/>
          <w:sz w:val="24"/>
          <w:szCs w:val="24"/>
          <w:rtl/>
        </w:rPr>
        <w:t>כי תשובה לשאלה זו התקבלה</w:t>
      </w:r>
      <w:r w:rsidR="0081085E">
        <w:rPr>
          <w:rFonts w:ascii="David" w:hAnsi="David" w:cs="David"/>
          <w:sz w:val="24"/>
          <w:szCs w:val="24"/>
          <w:rtl/>
        </w:rPr>
        <w:t xml:space="preserve"> </w:t>
      </w:r>
      <w:r w:rsidR="0081085E">
        <w:rPr>
          <w:rFonts w:ascii="David" w:hAnsi="David" w:cs="David" w:hint="cs"/>
          <w:sz w:val="24"/>
          <w:szCs w:val="24"/>
          <w:rtl/>
        </w:rPr>
        <w:t>מ</w:t>
      </w:r>
      <w:r w:rsidR="001209B4">
        <w:rPr>
          <w:rFonts w:ascii="David" w:hAnsi="David" w:cs="David"/>
          <w:sz w:val="24"/>
          <w:szCs w:val="24"/>
          <w:rtl/>
        </w:rPr>
        <w:t>ח' נ'</w:t>
      </w:r>
      <w:r w:rsidR="0081085E">
        <w:rPr>
          <w:rFonts w:ascii="David" w:hAnsi="David" w:cs="David" w:hint="cs"/>
          <w:sz w:val="24"/>
          <w:szCs w:val="24"/>
          <w:rtl/>
        </w:rPr>
        <w:t>, אשר הבהיר</w:t>
      </w:r>
      <w:r w:rsidR="00B02B6C">
        <w:rPr>
          <w:rFonts w:ascii="David" w:hAnsi="David" w:cs="David" w:hint="cs"/>
          <w:sz w:val="24"/>
          <w:szCs w:val="24"/>
          <w:rtl/>
        </w:rPr>
        <w:t>ה</w:t>
      </w:r>
      <w:r w:rsidR="0081085E">
        <w:rPr>
          <w:rFonts w:ascii="David" w:hAnsi="David" w:cs="David"/>
          <w:sz w:val="24"/>
          <w:szCs w:val="24"/>
          <w:rtl/>
        </w:rPr>
        <w:t xml:space="preserve"> כי הפנסיה</w:t>
      </w:r>
      <w:r w:rsidR="0081085E">
        <w:rPr>
          <w:rFonts w:ascii="David" w:hAnsi="David" w:cs="David" w:hint="cs"/>
          <w:sz w:val="24"/>
          <w:szCs w:val="24"/>
          <w:rtl/>
        </w:rPr>
        <w:t xml:space="preserve"> המשולמת למערער</w:t>
      </w:r>
      <w:r w:rsidR="00C26613">
        <w:rPr>
          <w:rFonts w:ascii="David" w:hAnsi="David" w:cs="David"/>
          <w:sz w:val="24"/>
          <w:szCs w:val="24"/>
          <w:rtl/>
        </w:rPr>
        <w:t xml:space="preserve"> אינה</w:t>
      </w:r>
      <w:r>
        <w:rPr>
          <w:rFonts w:ascii="David" w:hAnsi="David" w:cs="David"/>
          <w:sz w:val="24"/>
          <w:szCs w:val="24"/>
          <w:rtl/>
        </w:rPr>
        <w:t xml:space="preserve"> פנסיה רפואית</w:t>
      </w:r>
      <w:r>
        <w:rPr>
          <w:rFonts w:ascii="David" w:hAnsi="David" w:cs="David" w:hint="cs"/>
          <w:sz w:val="24"/>
          <w:szCs w:val="24"/>
          <w:rtl/>
        </w:rPr>
        <w:t xml:space="preserve">, ועל כן משהתקבלה תשובת </w:t>
      </w:r>
      <w:r w:rsidR="001209B4">
        <w:rPr>
          <w:rFonts w:ascii="David" w:hAnsi="David" w:cs="David" w:hint="cs"/>
          <w:sz w:val="24"/>
          <w:szCs w:val="24"/>
          <w:rtl/>
        </w:rPr>
        <w:t>ח</w:t>
      </w:r>
      <w:r w:rsidR="001209B4">
        <w:rPr>
          <w:rFonts w:ascii="David" w:hAnsi="David" w:cs="David"/>
          <w:sz w:val="24"/>
          <w:szCs w:val="24"/>
          <w:rtl/>
        </w:rPr>
        <w:t>'</w:t>
      </w:r>
      <w:r w:rsidR="001209B4">
        <w:rPr>
          <w:rFonts w:ascii="David" w:hAnsi="David" w:cs="David" w:hint="cs"/>
          <w:sz w:val="24"/>
          <w:szCs w:val="24"/>
          <w:rtl/>
        </w:rPr>
        <w:t xml:space="preserve"> נ</w:t>
      </w:r>
      <w:r w:rsidR="001209B4">
        <w:rPr>
          <w:rFonts w:ascii="David" w:hAnsi="David" w:cs="David"/>
          <w:sz w:val="24"/>
          <w:szCs w:val="24"/>
          <w:rtl/>
        </w:rPr>
        <w:t>'</w:t>
      </w:r>
      <w:r>
        <w:rPr>
          <w:rFonts w:ascii="David" w:hAnsi="David" w:cs="David" w:hint="cs"/>
          <w:sz w:val="24"/>
          <w:szCs w:val="24"/>
          <w:rtl/>
        </w:rPr>
        <w:t>, אין לאפשר למערער, להציב להכרעה שאלות אחרות, לאחר שהתשובה שהתקבלה ממקום עבודתו תומכת בעמדת האשה.</w:t>
      </w:r>
    </w:p>
    <w:p w:rsidR="00756E5C" w:rsidRDefault="00756E5C" w:rsidP="00756E5C">
      <w:pPr>
        <w:pStyle w:val="ad"/>
        <w:spacing w:line="360" w:lineRule="auto"/>
        <w:jc w:val="both"/>
        <w:rPr>
          <w:rFonts w:ascii="David" w:hAnsi="David" w:cs="David"/>
          <w:sz w:val="24"/>
          <w:szCs w:val="24"/>
          <w:rtl/>
        </w:rPr>
      </w:pPr>
    </w:p>
    <w:p w:rsidR="00756E5C" w:rsidRDefault="0081085E" w:rsidP="00756E5C">
      <w:pPr>
        <w:pStyle w:val="ad"/>
        <w:spacing w:line="360" w:lineRule="auto"/>
        <w:jc w:val="both"/>
        <w:rPr>
          <w:rFonts w:ascii="David" w:hAnsi="David" w:cs="David"/>
          <w:sz w:val="24"/>
          <w:szCs w:val="24"/>
          <w:rtl/>
        </w:rPr>
      </w:pPr>
      <w:r>
        <w:rPr>
          <w:rFonts w:ascii="David" w:hAnsi="David" w:cs="David"/>
          <w:sz w:val="24"/>
          <w:szCs w:val="24"/>
          <w:rtl/>
        </w:rPr>
        <w:t>הוסיף</w:t>
      </w:r>
      <w:r w:rsidR="00756E5C">
        <w:rPr>
          <w:rFonts w:ascii="David" w:hAnsi="David" w:cs="David"/>
          <w:sz w:val="24"/>
          <w:szCs w:val="24"/>
          <w:rtl/>
        </w:rPr>
        <w:t xml:space="preserve"> בית משפט קמא </w:t>
      </w:r>
      <w:r w:rsidR="00B02B6C">
        <w:rPr>
          <w:rFonts w:ascii="David" w:hAnsi="David" w:cs="David" w:hint="cs"/>
          <w:sz w:val="24"/>
          <w:szCs w:val="24"/>
          <w:rtl/>
        </w:rPr>
        <w:t xml:space="preserve">וציין, </w:t>
      </w:r>
      <w:r w:rsidR="00756E5C">
        <w:rPr>
          <w:rFonts w:ascii="David" w:hAnsi="David" w:cs="David" w:hint="cs"/>
          <w:sz w:val="24"/>
          <w:szCs w:val="24"/>
          <w:rtl/>
        </w:rPr>
        <w:t>כי לפניו הונחה תשתית ראייתית הנתמכת במסמכים שתוכנה אינו שנוי במחלוקת, בכל הנוגע לנסיבות שהובילו בשנת 2008 להעברת המערער מתפקיד מנופאי לתפקיד משרדי, ובשנת 2020 לסיום עבודתו בהסכם פנסיה מוקדמת בעקבות הליך התייעלות שהוביל לסגירת תחנת העבודה בה עבד. בית משפט קמא דחה את טענת המערער לפיה נמנע ממנו להמשיך ולעבוד ב</w:t>
      </w:r>
      <w:r w:rsidR="001209B4">
        <w:rPr>
          <w:rFonts w:ascii="David" w:hAnsi="David" w:cs="David" w:hint="cs"/>
          <w:sz w:val="24"/>
          <w:szCs w:val="24"/>
          <w:rtl/>
        </w:rPr>
        <w:t>ח</w:t>
      </w:r>
      <w:r w:rsidR="001209B4">
        <w:rPr>
          <w:rFonts w:ascii="David" w:hAnsi="David" w:cs="David"/>
          <w:sz w:val="24"/>
          <w:szCs w:val="24"/>
          <w:rtl/>
        </w:rPr>
        <w:t>'</w:t>
      </w:r>
      <w:r w:rsidR="001209B4">
        <w:rPr>
          <w:rFonts w:ascii="David" w:hAnsi="David" w:cs="David" w:hint="cs"/>
          <w:sz w:val="24"/>
          <w:szCs w:val="24"/>
          <w:rtl/>
        </w:rPr>
        <w:t xml:space="preserve"> נ</w:t>
      </w:r>
      <w:r w:rsidR="001209B4">
        <w:rPr>
          <w:rFonts w:ascii="David" w:hAnsi="David" w:cs="David"/>
          <w:sz w:val="24"/>
          <w:szCs w:val="24"/>
          <w:rtl/>
        </w:rPr>
        <w:t>'</w:t>
      </w:r>
      <w:r w:rsidR="00756E5C">
        <w:rPr>
          <w:rFonts w:ascii="David" w:hAnsi="David" w:cs="David" w:hint="cs"/>
          <w:sz w:val="24"/>
          <w:szCs w:val="24"/>
          <w:rtl/>
        </w:rPr>
        <w:t>, ו</w:t>
      </w:r>
      <w:r w:rsidR="00B02B6C">
        <w:rPr>
          <w:rFonts w:ascii="David" w:hAnsi="David" w:cs="David" w:hint="cs"/>
          <w:sz w:val="24"/>
          <w:szCs w:val="24"/>
          <w:rtl/>
        </w:rPr>
        <w:t xml:space="preserve">קבע </w:t>
      </w:r>
      <w:r w:rsidR="00756E5C">
        <w:rPr>
          <w:rFonts w:ascii="David" w:hAnsi="David" w:cs="David" w:hint="cs"/>
          <w:sz w:val="24"/>
          <w:szCs w:val="24"/>
          <w:rtl/>
        </w:rPr>
        <w:t>כי זו לא הוכחה. תימוכין לכך מצא בית משפט קמא בטענת המערער לפיה נודע לו לראשונה על סגירת תחנת העבודה ב</w:t>
      </w:r>
      <w:r w:rsidR="00B02B6C">
        <w:rPr>
          <w:rFonts w:ascii="David" w:hAnsi="David" w:cs="David" w:hint="cs"/>
          <w:sz w:val="24"/>
          <w:szCs w:val="24"/>
          <w:rtl/>
        </w:rPr>
        <w:t>חודש בו יצא לפנסיה מוקדמת. עוד ה</w:t>
      </w:r>
      <w:r w:rsidR="00756E5C">
        <w:rPr>
          <w:rFonts w:ascii="David" w:hAnsi="David" w:cs="David" w:hint="cs"/>
          <w:sz w:val="24"/>
          <w:szCs w:val="24"/>
          <w:rtl/>
        </w:rPr>
        <w:t>וסיף בית משפט קמא</w:t>
      </w:r>
      <w:r w:rsidR="00B02B6C">
        <w:rPr>
          <w:rFonts w:ascii="David" w:hAnsi="David" w:cs="David" w:hint="cs"/>
          <w:sz w:val="24"/>
          <w:szCs w:val="24"/>
          <w:rtl/>
        </w:rPr>
        <w:t>,</w:t>
      </w:r>
      <w:r w:rsidR="00756E5C">
        <w:rPr>
          <w:rFonts w:ascii="David" w:hAnsi="David" w:cs="David" w:hint="cs"/>
          <w:sz w:val="24"/>
          <w:szCs w:val="24"/>
          <w:rtl/>
        </w:rPr>
        <w:t xml:space="preserve"> כי עמדת ההסתדרות ו</w:t>
      </w:r>
      <w:r w:rsidR="001209B4">
        <w:rPr>
          <w:rFonts w:ascii="David" w:hAnsi="David" w:cs="David" w:hint="cs"/>
          <w:sz w:val="24"/>
          <w:szCs w:val="24"/>
          <w:rtl/>
        </w:rPr>
        <w:t>ח</w:t>
      </w:r>
      <w:r w:rsidR="001209B4">
        <w:rPr>
          <w:rFonts w:ascii="David" w:hAnsi="David" w:cs="David"/>
          <w:sz w:val="24"/>
          <w:szCs w:val="24"/>
          <w:rtl/>
        </w:rPr>
        <w:t>'</w:t>
      </w:r>
      <w:r w:rsidR="001209B4">
        <w:rPr>
          <w:rFonts w:ascii="David" w:hAnsi="David" w:cs="David" w:hint="cs"/>
          <w:sz w:val="24"/>
          <w:szCs w:val="24"/>
          <w:rtl/>
        </w:rPr>
        <w:t xml:space="preserve"> נ</w:t>
      </w:r>
      <w:r w:rsidR="001209B4">
        <w:rPr>
          <w:rFonts w:ascii="David" w:hAnsi="David" w:cs="David"/>
          <w:sz w:val="24"/>
          <w:szCs w:val="24"/>
          <w:rtl/>
        </w:rPr>
        <w:t>'</w:t>
      </w:r>
      <w:r w:rsidR="00756E5C">
        <w:rPr>
          <w:rFonts w:ascii="David" w:hAnsi="David" w:cs="David" w:hint="cs"/>
          <w:sz w:val="24"/>
          <w:szCs w:val="24"/>
          <w:rtl/>
        </w:rPr>
        <w:t xml:space="preserve"> דווקא תומכים בעמדת האשה לפיה המערער היה יכול להמשיך לעבוד ב</w:t>
      </w:r>
      <w:r w:rsidR="001209B4">
        <w:rPr>
          <w:rFonts w:ascii="David" w:hAnsi="David" w:cs="David" w:hint="cs"/>
          <w:sz w:val="24"/>
          <w:szCs w:val="24"/>
          <w:rtl/>
        </w:rPr>
        <w:t>ח</w:t>
      </w:r>
      <w:r w:rsidR="001209B4">
        <w:rPr>
          <w:rFonts w:ascii="David" w:hAnsi="David" w:cs="David"/>
          <w:sz w:val="24"/>
          <w:szCs w:val="24"/>
          <w:rtl/>
        </w:rPr>
        <w:t>'</w:t>
      </w:r>
      <w:r w:rsidR="001209B4">
        <w:rPr>
          <w:rFonts w:ascii="David" w:hAnsi="David" w:cs="David" w:hint="cs"/>
          <w:sz w:val="24"/>
          <w:szCs w:val="24"/>
          <w:rtl/>
        </w:rPr>
        <w:t xml:space="preserve"> נ</w:t>
      </w:r>
      <w:r w:rsidR="001209B4">
        <w:rPr>
          <w:rFonts w:ascii="David" w:hAnsi="David" w:cs="David"/>
          <w:sz w:val="24"/>
          <w:szCs w:val="24"/>
          <w:rtl/>
        </w:rPr>
        <w:t>'</w:t>
      </w:r>
      <w:r w:rsidR="00756E5C">
        <w:rPr>
          <w:rFonts w:ascii="David" w:hAnsi="David" w:cs="David" w:hint="cs"/>
          <w:sz w:val="24"/>
          <w:szCs w:val="24"/>
          <w:rtl/>
        </w:rPr>
        <w:t xml:space="preserve">, וכי על המערער היה, </w:t>
      </w:r>
      <w:r w:rsidR="00756E5C">
        <w:rPr>
          <w:rFonts w:ascii="David" w:hAnsi="David" w:cs="David" w:hint="cs"/>
          <w:sz w:val="24"/>
          <w:szCs w:val="24"/>
          <w:rtl/>
        </w:rPr>
        <w:lastRenderedPageBreak/>
        <w:t xml:space="preserve">כמי שהינו בעל נגישות רבה יותר להבאת מסמכים ועדים שיתמכו בגרסתו זו, </w:t>
      </w:r>
      <w:r w:rsidR="00B02B6C">
        <w:rPr>
          <w:rFonts w:ascii="David" w:hAnsi="David" w:cs="David" w:hint="cs"/>
          <w:sz w:val="24"/>
          <w:szCs w:val="24"/>
          <w:rtl/>
        </w:rPr>
        <w:t xml:space="preserve">להניח תשתית ראייתית התומכת בעמדתו, </w:t>
      </w:r>
      <w:r w:rsidR="00756E5C">
        <w:rPr>
          <w:rFonts w:ascii="David" w:hAnsi="David" w:cs="David" w:hint="cs"/>
          <w:sz w:val="24"/>
          <w:szCs w:val="24"/>
          <w:rtl/>
        </w:rPr>
        <w:t>ומשלא נעשה הדבר, יש להפעיל את החזקה לפיה לא הביא ראיות ואסמכתאות שיעידו על כך משום שהיה באלה כדי לתמוך בע</w:t>
      </w:r>
      <w:r w:rsidR="00B02B6C">
        <w:rPr>
          <w:rFonts w:ascii="David" w:hAnsi="David" w:cs="David" w:hint="cs"/>
          <w:sz w:val="24"/>
          <w:szCs w:val="24"/>
          <w:rtl/>
        </w:rPr>
        <w:t xml:space="preserve">מדת הצד השני ומשום שחשש כי תכנן </w:t>
      </w:r>
      <w:r w:rsidR="00756E5C">
        <w:rPr>
          <w:rFonts w:ascii="David" w:hAnsi="David" w:cs="David" w:hint="cs"/>
          <w:sz w:val="24"/>
          <w:szCs w:val="24"/>
          <w:rtl/>
        </w:rPr>
        <w:t>יפעל לרעתו.</w:t>
      </w:r>
    </w:p>
    <w:p w:rsidR="00756E5C" w:rsidRDefault="00756E5C" w:rsidP="00756E5C">
      <w:pPr>
        <w:pStyle w:val="ad"/>
        <w:spacing w:line="360" w:lineRule="auto"/>
        <w:jc w:val="both"/>
        <w:rPr>
          <w:rFonts w:ascii="David" w:hAnsi="David" w:cs="David"/>
          <w:sz w:val="24"/>
          <w:szCs w:val="24"/>
          <w:rtl/>
        </w:rPr>
      </w:pPr>
    </w:p>
    <w:p w:rsidR="00C26613" w:rsidRDefault="00756E5C" w:rsidP="00756E5C">
      <w:pPr>
        <w:pStyle w:val="ad"/>
        <w:spacing w:line="360" w:lineRule="auto"/>
        <w:jc w:val="both"/>
        <w:rPr>
          <w:rFonts w:ascii="David" w:hAnsi="David" w:cs="David"/>
          <w:sz w:val="24"/>
          <w:szCs w:val="24"/>
        </w:rPr>
      </w:pPr>
      <w:r>
        <w:rPr>
          <w:rFonts w:ascii="David" w:hAnsi="David" w:cs="David" w:hint="cs"/>
          <w:sz w:val="24"/>
          <w:szCs w:val="24"/>
          <w:rtl/>
        </w:rPr>
        <w:t>מכאן נפנה בית משפט קמא ל</w:t>
      </w:r>
      <w:r w:rsidR="00E5215E">
        <w:rPr>
          <w:rFonts w:ascii="David" w:hAnsi="David" w:cs="David" w:hint="cs"/>
          <w:sz w:val="24"/>
          <w:szCs w:val="24"/>
          <w:rtl/>
        </w:rPr>
        <w:t xml:space="preserve">הסכם הגירושין </w:t>
      </w:r>
      <w:r w:rsidR="00B02B6C">
        <w:rPr>
          <w:rFonts w:ascii="David" w:hAnsi="David" w:cs="David" w:hint="cs"/>
          <w:sz w:val="24"/>
          <w:szCs w:val="24"/>
          <w:rtl/>
        </w:rPr>
        <w:t xml:space="preserve">וקבע, </w:t>
      </w:r>
      <w:r>
        <w:rPr>
          <w:rFonts w:ascii="David" w:hAnsi="David" w:cs="David" w:hint="cs"/>
          <w:sz w:val="24"/>
          <w:szCs w:val="24"/>
          <w:rtl/>
        </w:rPr>
        <w:t xml:space="preserve">כי זה </w:t>
      </w:r>
      <w:r w:rsidR="00E5215E">
        <w:rPr>
          <w:rFonts w:ascii="David" w:hAnsi="David" w:cs="David" w:hint="cs"/>
          <w:sz w:val="24"/>
          <w:szCs w:val="24"/>
          <w:rtl/>
        </w:rPr>
        <w:t>נוקט לשון פשוטה לפיה</w:t>
      </w:r>
      <w:r w:rsidR="00E5215E">
        <w:rPr>
          <w:rFonts w:ascii="David" w:hAnsi="David" w:cs="David"/>
          <w:sz w:val="24"/>
          <w:szCs w:val="24"/>
          <w:rtl/>
        </w:rPr>
        <w:t xml:space="preserve"> ה</w:t>
      </w:r>
      <w:r w:rsidR="00E5215E">
        <w:rPr>
          <w:rFonts w:ascii="David" w:hAnsi="David" w:cs="David" w:hint="cs"/>
          <w:sz w:val="24"/>
          <w:szCs w:val="24"/>
          <w:rtl/>
        </w:rPr>
        <w:t>משיבה</w:t>
      </w:r>
      <w:r w:rsidR="00C26613">
        <w:rPr>
          <w:rFonts w:ascii="David" w:hAnsi="David" w:cs="David"/>
          <w:sz w:val="24"/>
          <w:szCs w:val="24"/>
          <w:rtl/>
        </w:rPr>
        <w:t xml:space="preserve"> </w:t>
      </w:r>
      <w:r w:rsidR="00E5215E">
        <w:rPr>
          <w:rFonts w:ascii="David" w:hAnsi="David" w:cs="David"/>
          <w:sz w:val="24"/>
          <w:szCs w:val="24"/>
          <w:rtl/>
        </w:rPr>
        <w:t xml:space="preserve">תתחיל לקבל חלק מהפנסיה של </w:t>
      </w:r>
      <w:r w:rsidR="00E5215E">
        <w:rPr>
          <w:rFonts w:ascii="David" w:hAnsi="David" w:cs="David" w:hint="cs"/>
          <w:sz w:val="24"/>
          <w:szCs w:val="24"/>
          <w:rtl/>
        </w:rPr>
        <w:t xml:space="preserve">המערער </w:t>
      </w:r>
      <w:r w:rsidR="00E5215E">
        <w:rPr>
          <w:rFonts w:ascii="David" w:hAnsi="David" w:cs="David"/>
          <w:sz w:val="24"/>
          <w:szCs w:val="24"/>
          <w:rtl/>
        </w:rPr>
        <w:t>מהמועד בו</w:t>
      </w:r>
      <w:r w:rsidR="00C26613">
        <w:rPr>
          <w:rFonts w:ascii="David" w:hAnsi="David" w:cs="David"/>
          <w:sz w:val="24"/>
          <w:szCs w:val="24"/>
          <w:rtl/>
        </w:rPr>
        <w:t xml:space="preserve"> יפרוש לגמלאות וכי לא נבחר נוסח אחר </w:t>
      </w:r>
      <w:r w:rsidR="00E5215E">
        <w:rPr>
          <w:rFonts w:ascii="David" w:hAnsi="David" w:cs="David"/>
          <w:sz w:val="24"/>
          <w:szCs w:val="24"/>
          <w:rtl/>
        </w:rPr>
        <w:t>לפיו התשלום יתחיל במועד בו יגיע לגיל הפרישה החוקי</w:t>
      </w:r>
      <w:r w:rsidR="00E5215E">
        <w:rPr>
          <w:rFonts w:ascii="David" w:hAnsi="David" w:cs="David" w:hint="cs"/>
          <w:sz w:val="24"/>
          <w:szCs w:val="24"/>
          <w:rtl/>
        </w:rPr>
        <w:t xml:space="preserve">, וכי עמדה זו תואמת את הוראות הדין המהותי ואת הפסיקה הנוהגת. </w:t>
      </w:r>
      <w:r w:rsidR="00C26613">
        <w:rPr>
          <w:rFonts w:ascii="David" w:hAnsi="David" w:cs="David"/>
          <w:sz w:val="24"/>
          <w:szCs w:val="24"/>
          <w:rtl/>
        </w:rPr>
        <w:t xml:space="preserve">באשר לסעיף 8(2) לחוק יחסי ממון </w:t>
      </w:r>
      <w:r w:rsidR="00B02B6C">
        <w:rPr>
          <w:rFonts w:ascii="David" w:hAnsi="David" w:cs="David" w:hint="cs"/>
          <w:sz w:val="24"/>
          <w:szCs w:val="24"/>
          <w:rtl/>
        </w:rPr>
        <w:t xml:space="preserve">בין בני זוג </w:t>
      </w:r>
      <w:r w:rsidR="00E5215E">
        <w:rPr>
          <w:rFonts w:ascii="David" w:hAnsi="David" w:cs="David" w:hint="cs"/>
          <w:sz w:val="24"/>
          <w:szCs w:val="24"/>
          <w:rtl/>
        </w:rPr>
        <w:t>נ</w:t>
      </w:r>
      <w:r w:rsidR="00E5215E">
        <w:rPr>
          <w:rFonts w:ascii="David" w:hAnsi="David" w:cs="David"/>
          <w:sz w:val="24"/>
          <w:szCs w:val="24"/>
          <w:rtl/>
        </w:rPr>
        <w:t>קבע</w:t>
      </w:r>
      <w:r w:rsidR="00B02B6C">
        <w:rPr>
          <w:rFonts w:ascii="David" w:hAnsi="David" w:cs="David" w:hint="cs"/>
          <w:sz w:val="24"/>
          <w:szCs w:val="24"/>
          <w:rtl/>
        </w:rPr>
        <w:t>,</w:t>
      </w:r>
      <w:r w:rsidR="00E5215E">
        <w:rPr>
          <w:rFonts w:ascii="David" w:hAnsi="David" w:cs="David"/>
          <w:sz w:val="24"/>
          <w:szCs w:val="24"/>
          <w:rtl/>
        </w:rPr>
        <w:t xml:space="preserve"> כי ה</w:t>
      </w:r>
      <w:r w:rsidR="00E5215E">
        <w:rPr>
          <w:rFonts w:ascii="David" w:hAnsi="David" w:cs="David" w:hint="cs"/>
          <w:sz w:val="24"/>
          <w:szCs w:val="24"/>
          <w:rtl/>
        </w:rPr>
        <w:t xml:space="preserve">מערער </w:t>
      </w:r>
      <w:r w:rsidR="00C26613">
        <w:rPr>
          <w:rFonts w:ascii="David" w:hAnsi="David" w:cs="David"/>
          <w:sz w:val="24"/>
          <w:szCs w:val="24"/>
          <w:rtl/>
        </w:rPr>
        <w:t xml:space="preserve">לא הניח תשתית עובדתית המאפשרת לשקול את איזון הגמלה באופן שונה. </w:t>
      </w:r>
    </w:p>
    <w:p w:rsidR="00C26613" w:rsidRDefault="00C26613" w:rsidP="00C26613">
      <w:pPr>
        <w:spacing w:line="360" w:lineRule="auto"/>
        <w:ind w:left="360"/>
        <w:jc w:val="both"/>
        <w:rPr>
          <w:rFonts w:ascii="David" w:hAnsi="David"/>
          <w:b/>
          <w:bCs/>
          <w:u w:val="single"/>
        </w:rPr>
      </w:pPr>
      <w:r>
        <w:rPr>
          <w:rFonts w:ascii="David" w:hAnsi="David"/>
          <w:b/>
          <w:bCs/>
          <w:u w:val="single"/>
          <w:rtl/>
        </w:rPr>
        <w:t>הערעור</w:t>
      </w:r>
    </w:p>
    <w:p w:rsidR="004465B6" w:rsidRDefault="00E5215E" w:rsidP="004465B6">
      <w:pPr>
        <w:pStyle w:val="ad"/>
        <w:numPr>
          <w:ilvl w:val="0"/>
          <w:numId w:val="1"/>
        </w:numPr>
        <w:spacing w:line="360" w:lineRule="auto"/>
        <w:jc w:val="both"/>
        <w:rPr>
          <w:rFonts w:ascii="David" w:hAnsi="David" w:cs="David"/>
          <w:sz w:val="24"/>
          <w:szCs w:val="24"/>
        </w:rPr>
      </w:pPr>
      <w:r>
        <w:rPr>
          <w:rFonts w:ascii="David" w:hAnsi="David" w:cs="David" w:hint="cs"/>
          <w:sz w:val="24"/>
          <w:szCs w:val="24"/>
          <w:rtl/>
        </w:rPr>
        <w:t>המערער לא השלים עם פסק דינו של בית משפט קמא והגיש את ערעורו המונח לפנינו</w:t>
      </w:r>
      <w:r w:rsidR="00C26613">
        <w:rPr>
          <w:rFonts w:ascii="David" w:hAnsi="David" w:cs="David"/>
          <w:sz w:val="24"/>
          <w:szCs w:val="24"/>
          <w:rtl/>
        </w:rPr>
        <w:t xml:space="preserve">. </w:t>
      </w:r>
      <w:r w:rsidR="004465B6">
        <w:rPr>
          <w:rFonts w:ascii="David" w:hAnsi="David" w:cs="David" w:hint="cs"/>
          <w:sz w:val="24"/>
          <w:szCs w:val="24"/>
          <w:rtl/>
        </w:rPr>
        <w:t>טענות המערער כנגד הקביעה כי הפנסיה המוקדמת מ</w:t>
      </w:r>
      <w:r w:rsidR="001209B4">
        <w:rPr>
          <w:rFonts w:ascii="David" w:hAnsi="David" w:cs="David" w:hint="cs"/>
          <w:sz w:val="24"/>
          <w:szCs w:val="24"/>
          <w:rtl/>
        </w:rPr>
        <w:t>ח</w:t>
      </w:r>
      <w:r w:rsidR="001209B4">
        <w:rPr>
          <w:rFonts w:ascii="David" w:hAnsi="David" w:cs="David"/>
          <w:sz w:val="24"/>
          <w:szCs w:val="24"/>
          <w:rtl/>
        </w:rPr>
        <w:t>'</w:t>
      </w:r>
      <w:r w:rsidR="001209B4">
        <w:rPr>
          <w:rFonts w:ascii="David" w:hAnsi="David" w:cs="David" w:hint="cs"/>
          <w:sz w:val="24"/>
          <w:szCs w:val="24"/>
          <w:rtl/>
        </w:rPr>
        <w:t xml:space="preserve"> נ</w:t>
      </w:r>
      <w:r w:rsidR="001209B4">
        <w:rPr>
          <w:rFonts w:ascii="David" w:hAnsi="David" w:cs="David"/>
          <w:sz w:val="24"/>
          <w:szCs w:val="24"/>
          <w:rtl/>
        </w:rPr>
        <w:t>'</w:t>
      </w:r>
      <w:r w:rsidR="004465B6">
        <w:rPr>
          <w:rFonts w:ascii="David" w:hAnsi="David" w:cs="David" w:hint="cs"/>
          <w:sz w:val="24"/>
          <w:szCs w:val="24"/>
          <w:rtl/>
        </w:rPr>
        <w:t xml:space="preserve"> אינה ברת איזון, נחלקות לשתיים:</w:t>
      </w:r>
    </w:p>
    <w:p w:rsidR="004465B6" w:rsidRDefault="003D66EC" w:rsidP="004465B6">
      <w:pPr>
        <w:pStyle w:val="ad"/>
        <w:numPr>
          <w:ilvl w:val="0"/>
          <w:numId w:val="6"/>
        </w:numPr>
        <w:spacing w:line="360" w:lineRule="auto"/>
        <w:jc w:val="both"/>
        <w:rPr>
          <w:rFonts w:ascii="David" w:hAnsi="David" w:cs="David"/>
          <w:sz w:val="24"/>
          <w:szCs w:val="24"/>
        </w:rPr>
      </w:pPr>
      <w:r>
        <w:rPr>
          <w:rFonts w:ascii="David" w:hAnsi="David" w:cs="David" w:hint="cs"/>
          <w:sz w:val="24"/>
          <w:szCs w:val="24"/>
          <w:rtl/>
        </w:rPr>
        <w:t xml:space="preserve">בשל נסיבות מיוחדות </w:t>
      </w:r>
      <w:r>
        <w:rPr>
          <w:rFonts w:ascii="David" w:hAnsi="David" w:cs="David"/>
          <w:sz w:val="24"/>
          <w:szCs w:val="24"/>
          <w:rtl/>
        </w:rPr>
        <w:t>–</w:t>
      </w:r>
      <w:r>
        <w:rPr>
          <w:rFonts w:ascii="David" w:hAnsi="David" w:cs="David" w:hint="cs"/>
          <w:sz w:val="24"/>
          <w:szCs w:val="24"/>
          <w:rtl/>
        </w:rPr>
        <w:t xml:space="preserve"> משום שעסקינן בפנסיה רפואית ומשום </w:t>
      </w:r>
      <w:r w:rsidR="00B02B6C">
        <w:rPr>
          <w:rFonts w:ascii="David" w:hAnsi="David" w:cs="David" w:hint="cs"/>
          <w:sz w:val="24"/>
          <w:szCs w:val="24"/>
          <w:rtl/>
        </w:rPr>
        <w:t>ש</w:t>
      </w:r>
      <w:r>
        <w:rPr>
          <w:rFonts w:ascii="David" w:hAnsi="David" w:cs="David" w:hint="cs"/>
          <w:sz w:val="24"/>
          <w:szCs w:val="24"/>
          <w:rtl/>
        </w:rPr>
        <w:t>הפרישה נכפתה עליו ו</w:t>
      </w:r>
      <w:r w:rsidR="00B02B6C">
        <w:rPr>
          <w:rFonts w:ascii="David" w:hAnsi="David" w:cs="David" w:hint="cs"/>
          <w:sz w:val="24"/>
          <w:szCs w:val="24"/>
          <w:rtl/>
        </w:rPr>
        <w:t>לא היתה רצונית;</w:t>
      </w:r>
    </w:p>
    <w:p w:rsidR="004465B6" w:rsidRDefault="004465B6" w:rsidP="004465B6">
      <w:pPr>
        <w:pStyle w:val="ad"/>
        <w:numPr>
          <w:ilvl w:val="0"/>
          <w:numId w:val="6"/>
        </w:numPr>
        <w:spacing w:line="360" w:lineRule="auto"/>
        <w:jc w:val="both"/>
        <w:rPr>
          <w:rFonts w:ascii="David" w:hAnsi="David" w:cs="David"/>
          <w:sz w:val="24"/>
          <w:szCs w:val="24"/>
        </w:rPr>
      </w:pPr>
      <w:r>
        <w:rPr>
          <w:rFonts w:ascii="David" w:hAnsi="David" w:cs="David" w:hint="cs"/>
          <w:sz w:val="24"/>
          <w:szCs w:val="24"/>
          <w:rtl/>
        </w:rPr>
        <w:t>מכוח פרשנות נכונה וראויה להוראות הסכם הגירושין המשקפת אומד דעת הצדדים.</w:t>
      </w:r>
    </w:p>
    <w:p w:rsidR="004465B6" w:rsidRPr="004465B6" w:rsidRDefault="004465B6" w:rsidP="004465B6">
      <w:pPr>
        <w:pStyle w:val="ad"/>
        <w:spacing w:line="360" w:lineRule="auto"/>
        <w:ind w:left="1080"/>
        <w:jc w:val="both"/>
        <w:rPr>
          <w:rFonts w:ascii="David" w:hAnsi="David" w:cs="David"/>
          <w:sz w:val="24"/>
          <w:szCs w:val="24"/>
        </w:rPr>
      </w:pPr>
    </w:p>
    <w:p w:rsidR="004465B6" w:rsidRDefault="004465B6" w:rsidP="00E5215E">
      <w:pPr>
        <w:pStyle w:val="ad"/>
        <w:numPr>
          <w:ilvl w:val="0"/>
          <w:numId w:val="1"/>
        </w:numPr>
        <w:spacing w:line="360" w:lineRule="auto"/>
        <w:jc w:val="both"/>
        <w:rPr>
          <w:rFonts w:ascii="David" w:hAnsi="David" w:cs="David"/>
          <w:sz w:val="24"/>
          <w:szCs w:val="24"/>
        </w:rPr>
      </w:pPr>
      <w:r>
        <w:rPr>
          <w:rFonts w:ascii="David" w:hAnsi="David" w:cs="David" w:hint="cs"/>
          <w:sz w:val="24"/>
          <w:szCs w:val="24"/>
          <w:rtl/>
        </w:rPr>
        <w:t>וביתר פירוט;</w:t>
      </w:r>
    </w:p>
    <w:p w:rsidR="00242D5E" w:rsidRDefault="00242D5E" w:rsidP="00242D5E">
      <w:pPr>
        <w:pStyle w:val="ad"/>
        <w:spacing w:line="360" w:lineRule="auto"/>
        <w:jc w:val="both"/>
        <w:rPr>
          <w:rFonts w:ascii="David" w:hAnsi="David" w:cs="David"/>
          <w:sz w:val="24"/>
          <w:szCs w:val="24"/>
        </w:rPr>
      </w:pPr>
    </w:p>
    <w:p w:rsidR="00C26613" w:rsidRDefault="00C26613" w:rsidP="004465B6">
      <w:pPr>
        <w:pStyle w:val="ad"/>
        <w:spacing w:line="360" w:lineRule="auto"/>
        <w:jc w:val="both"/>
        <w:rPr>
          <w:rFonts w:ascii="David" w:hAnsi="David" w:cs="David"/>
          <w:sz w:val="24"/>
          <w:szCs w:val="24"/>
          <w:rtl/>
        </w:rPr>
      </w:pPr>
      <w:r>
        <w:rPr>
          <w:rFonts w:ascii="David" w:hAnsi="David" w:cs="David"/>
          <w:sz w:val="24"/>
          <w:szCs w:val="24"/>
          <w:rtl/>
        </w:rPr>
        <w:t xml:space="preserve">לטענתו, טעה בית משפט קמא בפרשנות הסכם </w:t>
      </w:r>
      <w:r w:rsidR="00E5215E">
        <w:rPr>
          <w:rFonts w:ascii="David" w:hAnsi="David" w:cs="David"/>
          <w:sz w:val="24"/>
          <w:szCs w:val="24"/>
          <w:rtl/>
        </w:rPr>
        <w:t>הגירושין</w:t>
      </w:r>
      <w:r w:rsidR="00E5215E">
        <w:rPr>
          <w:rFonts w:ascii="David" w:hAnsi="David" w:cs="David" w:hint="cs"/>
          <w:sz w:val="24"/>
          <w:szCs w:val="24"/>
          <w:rtl/>
        </w:rPr>
        <w:t xml:space="preserve"> </w:t>
      </w:r>
      <w:r>
        <w:rPr>
          <w:rFonts w:ascii="David" w:hAnsi="David" w:cs="David"/>
          <w:sz w:val="24"/>
          <w:szCs w:val="24"/>
          <w:rtl/>
        </w:rPr>
        <w:t>בקובע</w:t>
      </w:r>
      <w:r w:rsidR="00E5215E">
        <w:rPr>
          <w:rFonts w:ascii="David" w:hAnsi="David" w:cs="David" w:hint="cs"/>
          <w:sz w:val="24"/>
          <w:szCs w:val="24"/>
          <w:rtl/>
        </w:rPr>
        <w:t>ו</w:t>
      </w:r>
      <w:r>
        <w:rPr>
          <w:rFonts w:ascii="David" w:hAnsi="David" w:cs="David"/>
          <w:sz w:val="24"/>
          <w:szCs w:val="24"/>
          <w:rtl/>
        </w:rPr>
        <w:t xml:space="preserve"> כי </w:t>
      </w:r>
      <w:r w:rsidR="00E5215E">
        <w:rPr>
          <w:rFonts w:ascii="David" w:hAnsi="David" w:cs="David" w:hint="cs"/>
          <w:sz w:val="24"/>
          <w:szCs w:val="24"/>
          <w:rtl/>
        </w:rPr>
        <w:t xml:space="preserve">זה מורה על </w:t>
      </w:r>
      <w:r w:rsidR="00E5215E">
        <w:rPr>
          <w:rFonts w:ascii="David" w:hAnsi="David" w:cs="David"/>
          <w:sz w:val="24"/>
          <w:szCs w:val="24"/>
          <w:rtl/>
        </w:rPr>
        <w:t xml:space="preserve"> </w:t>
      </w:r>
      <w:r>
        <w:rPr>
          <w:rFonts w:ascii="David" w:hAnsi="David" w:cs="David"/>
          <w:sz w:val="24"/>
          <w:szCs w:val="24"/>
          <w:rtl/>
        </w:rPr>
        <w:t>א</w:t>
      </w:r>
      <w:r w:rsidR="00E5215E">
        <w:rPr>
          <w:rFonts w:ascii="David" w:hAnsi="David" w:cs="David" w:hint="cs"/>
          <w:sz w:val="24"/>
          <w:szCs w:val="24"/>
          <w:rtl/>
        </w:rPr>
        <w:t>י</w:t>
      </w:r>
      <w:r>
        <w:rPr>
          <w:rFonts w:ascii="David" w:hAnsi="David" w:cs="David"/>
          <w:sz w:val="24"/>
          <w:szCs w:val="24"/>
          <w:rtl/>
        </w:rPr>
        <w:t>ז</w:t>
      </w:r>
      <w:r w:rsidR="00E5215E">
        <w:rPr>
          <w:rFonts w:ascii="David" w:hAnsi="David" w:cs="David" w:hint="cs"/>
          <w:sz w:val="24"/>
          <w:szCs w:val="24"/>
          <w:rtl/>
        </w:rPr>
        <w:t>ו</w:t>
      </w:r>
      <w:r w:rsidR="00E5215E">
        <w:rPr>
          <w:rFonts w:ascii="David" w:hAnsi="David" w:cs="David"/>
          <w:sz w:val="24"/>
          <w:szCs w:val="24"/>
          <w:rtl/>
        </w:rPr>
        <w:t xml:space="preserve">ן </w:t>
      </w:r>
      <w:r>
        <w:rPr>
          <w:rFonts w:ascii="David" w:hAnsi="David" w:cs="David"/>
          <w:sz w:val="24"/>
          <w:szCs w:val="24"/>
          <w:rtl/>
        </w:rPr>
        <w:t>כספי הפנ</w:t>
      </w:r>
      <w:r w:rsidR="00E5215E">
        <w:rPr>
          <w:rFonts w:ascii="David" w:hAnsi="David" w:cs="David"/>
          <w:sz w:val="24"/>
          <w:szCs w:val="24"/>
          <w:rtl/>
        </w:rPr>
        <w:t>סיה המוקדמת</w:t>
      </w:r>
      <w:r>
        <w:rPr>
          <w:rFonts w:ascii="David" w:hAnsi="David" w:cs="David"/>
          <w:sz w:val="24"/>
          <w:szCs w:val="24"/>
          <w:rtl/>
        </w:rPr>
        <w:t>. עוד טוען</w:t>
      </w:r>
      <w:r w:rsidR="00B02B6C">
        <w:rPr>
          <w:rFonts w:ascii="David" w:hAnsi="David" w:cs="David" w:hint="cs"/>
          <w:sz w:val="24"/>
          <w:szCs w:val="24"/>
          <w:rtl/>
        </w:rPr>
        <w:t>,</w:t>
      </w:r>
      <w:r>
        <w:rPr>
          <w:rFonts w:ascii="David" w:hAnsi="David" w:cs="David"/>
          <w:sz w:val="24"/>
          <w:szCs w:val="24"/>
          <w:rtl/>
        </w:rPr>
        <w:t xml:space="preserve"> כי ב</w:t>
      </w:r>
      <w:r w:rsidR="00E5215E">
        <w:rPr>
          <w:rFonts w:ascii="David" w:hAnsi="David" w:cs="David"/>
          <w:sz w:val="24"/>
          <w:szCs w:val="24"/>
          <w:rtl/>
        </w:rPr>
        <w:t>ית משפט קמא טעה כאשר התעלם מנ</w:t>
      </w:r>
      <w:r w:rsidR="00E5215E">
        <w:rPr>
          <w:rFonts w:ascii="David" w:hAnsi="David" w:cs="David" w:hint="cs"/>
          <w:sz w:val="24"/>
          <w:szCs w:val="24"/>
          <w:rtl/>
        </w:rPr>
        <w:t>ו</w:t>
      </w:r>
      <w:r w:rsidR="00E5215E">
        <w:rPr>
          <w:rFonts w:ascii="David" w:hAnsi="David" w:cs="David"/>
          <w:sz w:val="24"/>
          <w:szCs w:val="24"/>
          <w:rtl/>
        </w:rPr>
        <w:t xml:space="preserve">סחו </w:t>
      </w:r>
      <w:r w:rsidR="00E5215E">
        <w:rPr>
          <w:rFonts w:ascii="David" w:hAnsi="David" w:cs="David" w:hint="cs"/>
          <w:sz w:val="24"/>
          <w:szCs w:val="24"/>
          <w:rtl/>
        </w:rPr>
        <w:t xml:space="preserve">ופרשנותו המלאה של הסכם הגירושין </w:t>
      </w:r>
      <w:r w:rsidR="00E5215E">
        <w:rPr>
          <w:rFonts w:ascii="David" w:hAnsi="David" w:cs="David"/>
          <w:sz w:val="24"/>
          <w:szCs w:val="24"/>
          <w:rtl/>
        </w:rPr>
        <w:t xml:space="preserve">וכי יש להתייחס לכל </w:t>
      </w:r>
      <w:r w:rsidR="00E5215E">
        <w:rPr>
          <w:rFonts w:ascii="David" w:hAnsi="David" w:cs="David" w:hint="cs"/>
          <w:sz w:val="24"/>
          <w:szCs w:val="24"/>
          <w:rtl/>
        </w:rPr>
        <w:t xml:space="preserve">הביטויים שבו </w:t>
      </w:r>
      <w:r w:rsidR="00E5215E">
        <w:rPr>
          <w:rFonts w:ascii="David" w:hAnsi="David" w:cs="David"/>
          <w:sz w:val="24"/>
          <w:szCs w:val="24"/>
          <w:rtl/>
        </w:rPr>
        <w:t>במלוא</w:t>
      </w:r>
      <w:r w:rsidR="00B02B6C">
        <w:rPr>
          <w:rFonts w:ascii="David" w:hAnsi="David" w:cs="David" w:hint="cs"/>
          <w:sz w:val="24"/>
          <w:szCs w:val="24"/>
          <w:rtl/>
        </w:rPr>
        <w:t xml:space="preserve">ם, ולא כפי שסבר בית משפט קמא כי </w:t>
      </w:r>
      <w:r w:rsidR="00E5215E">
        <w:rPr>
          <w:rFonts w:ascii="David" w:hAnsi="David" w:cs="David" w:hint="cs"/>
          <w:sz w:val="24"/>
          <w:szCs w:val="24"/>
          <w:rtl/>
        </w:rPr>
        <w:t>עסקינן בהסכם שלשונו פשוטה</w:t>
      </w:r>
      <w:r>
        <w:rPr>
          <w:rFonts w:ascii="David" w:hAnsi="David" w:cs="David"/>
          <w:sz w:val="24"/>
          <w:szCs w:val="24"/>
          <w:rtl/>
        </w:rPr>
        <w:t xml:space="preserve">. בנוסף, טוען </w:t>
      </w:r>
      <w:r w:rsidR="00E5215E">
        <w:rPr>
          <w:rFonts w:ascii="David" w:hAnsi="David" w:cs="David" w:hint="cs"/>
          <w:sz w:val="24"/>
          <w:szCs w:val="24"/>
          <w:rtl/>
        </w:rPr>
        <w:t>המערער</w:t>
      </w:r>
      <w:r w:rsidR="00B02B6C">
        <w:rPr>
          <w:rFonts w:ascii="David" w:hAnsi="David" w:cs="David" w:hint="cs"/>
          <w:sz w:val="24"/>
          <w:szCs w:val="24"/>
          <w:rtl/>
        </w:rPr>
        <w:t>,</w:t>
      </w:r>
      <w:r w:rsidR="00E5215E">
        <w:rPr>
          <w:rFonts w:ascii="David" w:hAnsi="David" w:cs="David" w:hint="cs"/>
          <w:sz w:val="24"/>
          <w:szCs w:val="24"/>
          <w:rtl/>
        </w:rPr>
        <w:t xml:space="preserve"> </w:t>
      </w:r>
      <w:r>
        <w:rPr>
          <w:rFonts w:ascii="David" w:hAnsi="David" w:cs="David"/>
          <w:sz w:val="24"/>
          <w:szCs w:val="24"/>
          <w:rtl/>
        </w:rPr>
        <w:t xml:space="preserve">כי במקרה דנן הפנסיה המוקדמת אינה ברת-איזון </w:t>
      </w:r>
      <w:r w:rsidR="00E5215E">
        <w:rPr>
          <w:rFonts w:ascii="David" w:hAnsi="David" w:cs="David" w:hint="cs"/>
          <w:sz w:val="24"/>
          <w:szCs w:val="24"/>
          <w:rtl/>
        </w:rPr>
        <w:t>ואין לתקדימים ולפסיקה אליה הפנה בית משפט קמא כדי לשנות</w:t>
      </w:r>
      <w:r w:rsidR="00373521">
        <w:rPr>
          <w:rFonts w:ascii="David" w:hAnsi="David" w:cs="David" w:hint="cs"/>
          <w:sz w:val="24"/>
          <w:szCs w:val="24"/>
          <w:rtl/>
        </w:rPr>
        <w:t xml:space="preserve"> מההסכמות שהתקבלו</w:t>
      </w:r>
      <w:r>
        <w:rPr>
          <w:rFonts w:ascii="David" w:hAnsi="David" w:cs="David"/>
          <w:sz w:val="24"/>
          <w:szCs w:val="24"/>
          <w:rtl/>
        </w:rPr>
        <w:t xml:space="preserve"> </w:t>
      </w:r>
      <w:r w:rsidR="00373521">
        <w:rPr>
          <w:rFonts w:ascii="David" w:hAnsi="David" w:cs="David" w:hint="cs"/>
          <w:sz w:val="24"/>
          <w:szCs w:val="24"/>
          <w:rtl/>
        </w:rPr>
        <w:t>ב</w:t>
      </w:r>
      <w:r w:rsidR="00373521">
        <w:rPr>
          <w:rFonts w:ascii="David" w:hAnsi="David" w:cs="David"/>
          <w:sz w:val="24"/>
          <w:szCs w:val="24"/>
          <w:rtl/>
        </w:rPr>
        <w:t xml:space="preserve">הסכם הגירושין </w:t>
      </w:r>
      <w:r w:rsidR="00373521">
        <w:rPr>
          <w:rFonts w:ascii="David" w:hAnsi="David" w:cs="David" w:hint="cs"/>
          <w:sz w:val="24"/>
          <w:szCs w:val="24"/>
          <w:rtl/>
        </w:rPr>
        <w:t>ולמתחייב על פיו</w:t>
      </w:r>
      <w:r w:rsidR="00B02B6C">
        <w:rPr>
          <w:rFonts w:ascii="David" w:hAnsi="David" w:cs="David"/>
          <w:sz w:val="24"/>
          <w:szCs w:val="24"/>
          <w:rtl/>
        </w:rPr>
        <w:t>. עוד טען כי ה</w:t>
      </w:r>
      <w:r w:rsidR="00B02B6C">
        <w:rPr>
          <w:rFonts w:ascii="David" w:hAnsi="David" w:cs="David" w:hint="cs"/>
          <w:sz w:val="24"/>
          <w:szCs w:val="24"/>
          <w:rtl/>
        </w:rPr>
        <w:t>וא</w:t>
      </w:r>
      <w:r>
        <w:rPr>
          <w:rFonts w:ascii="David" w:hAnsi="David" w:cs="David"/>
          <w:sz w:val="24"/>
          <w:szCs w:val="24"/>
          <w:rtl/>
        </w:rPr>
        <w:t xml:space="preserve"> יצא לפנסיה מ</w:t>
      </w:r>
      <w:r w:rsidR="00373521">
        <w:rPr>
          <w:rFonts w:ascii="David" w:hAnsi="David" w:cs="David"/>
          <w:sz w:val="24"/>
          <w:szCs w:val="24"/>
          <w:rtl/>
        </w:rPr>
        <w:t>וקדמת אך ורק בגלל מצבו הבריאותי</w:t>
      </w:r>
      <w:r w:rsidR="00B02B6C">
        <w:rPr>
          <w:rFonts w:ascii="David" w:hAnsi="David" w:cs="David" w:hint="cs"/>
          <w:sz w:val="24"/>
          <w:szCs w:val="24"/>
          <w:rtl/>
        </w:rPr>
        <w:t xml:space="preserve">, </w:t>
      </w:r>
      <w:r w:rsidR="00373521">
        <w:rPr>
          <w:rFonts w:ascii="David" w:hAnsi="David" w:cs="David" w:hint="cs"/>
          <w:sz w:val="24"/>
          <w:szCs w:val="24"/>
          <w:rtl/>
        </w:rPr>
        <w:t>כי מדובר בפרישה בנסיבות מ</w:t>
      </w:r>
      <w:r w:rsidR="00B02B6C">
        <w:rPr>
          <w:rFonts w:ascii="David" w:hAnsi="David" w:cs="David" w:hint="cs"/>
          <w:sz w:val="24"/>
          <w:szCs w:val="24"/>
          <w:rtl/>
        </w:rPr>
        <w:t>יוחדות המצדיקות התייחסות מתאימה., וכי</w:t>
      </w:r>
      <w:r>
        <w:rPr>
          <w:rFonts w:ascii="David" w:hAnsi="David" w:cs="David"/>
          <w:sz w:val="24"/>
          <w:szCs w:val="24"/>
          <w:rtl/>
        </w:rPr>
        <w:t xml:space="preserve"> גם אם לא מדובר בפנסיה מוקדמת עקב מצב בריאותי אלא בהסכם בין העובד למעסיקו, הרי שהקצבה לא משולמת מכספים או זכויות שצבר בתקופת החיים המשותפים. </w:t>
      </w:r>
    </w:p>
    <w:p w:rsidR="004465B6" w:rsidRDefault="004465B6" w:rsidP="004465B6">
      <w:pPr>
        <w:pStyle w:val="ad"/>
        <w:spacing w:line="360" w:lineRule="auto"/>
        <w:jc w:val="both"/>
        <w:rPr>
          <w:rFonts w:ascii="David" w:hAnsi="David" w:cs="David"/>
          <w:sz w:val="24"/>
          <w:szCs w:val="24"/>
        </w:rPr>
      </w:pPr>
    </w:p>
    <w:p w:rsidR="003D66EC" w:rsidRDefault="00373521" w:rsidP="003D66EC">
      <w:pPr>
        <w:pStyle w:val="ad"/>
        <w:spacing w:line="360" w:lineRule="auto"/>
        <w:jc w:val="both"/>
        <w:rPr>
          <w:rFonts w:ascii="David" w:hAnsi="David" w:cs="David"/>
          <w:sz w:val="24"/>
          <w:szCs w:val="24"/>
          <w:rtl/>
        </w:rPr>
      </w:pPr>
      <w:r>
        <w:rPr>
          <w:rFonts w:ascii="David" w:hAnsi="David" w:cs="David" w:hint="cs"/>
          <w:sz w:val="24"/>
          <w:szCs w:val="24"/>
          <w:rtl/>
        </w:rPr>
        <w:lastRenderedPageBreak/>
        <w:t xml:space="preserve">המערער הוסיף וטען, כי הסכם הגירושין אינו מתייחס לפנסיה מוקדמת והוא מבדיל בין שתי סיטואציות, האחת, בסע' 1 (ב) </w:t>
      </w:r>
      <w:r>
        <w:rPr>
          <w:rFonts w:ascii="David" w:hAnsi="David" w:cs="David"/>
          <w:sz w:val="24"/>
          <w:szCs w:val="24"/>
          <w:rtl/>
        </w:rPr>
        <w:t>–</w:t>
      </w:r>
      <w:r>
        <w:rPr>
          <w:rFonts w:ascii="David" w:hAnsi="David" w:cs="David" w:hint="cs"/>
          <w:sz w:val="24"/>
          <w:szCs w:val="24"/>
          <w:rtl/>
        </w:rPr>
        <w:t xml:space="preserve"> </w:t>
      </w:r>
      <w:r w:rsidRPr="00373521">
        <w:rPr>
          <w:rFonts w:ascii="David" w:hAnsi="David" w:cs="David" w:hint="cs"/>
          <w:b/>
          <w:bCs/>
          <w:sz w:val="24"/>
          <w:szCs w:val="24"/>
          <w:rtl/>
        </w:rPr>
        <w:t>"עם פרישת הבעל מעבודתו, ישלם סכום חד פעמי של 113,500 ₪ ..."</w:t>
      </w:r>
      <w:r>
        <w:rPr>
          <w:rFonts w:ascii="David" w:hAnsi="David" w:cs="David" w:hint="cs"/>
          <w:sz w:val="24"/>
          <w:szCs w:val="24"/>
          <w:rtl/>
        </w:rPr>
        <w:t xml:space="preserve"> והשניה שבסע' 1 (ג) </w:t>
      </w:r>
      <w:r w:rsidRPr="00373521">
        <w:rPr>
          <w:rFonts w:ascii="David" w:hAnsi="David" w:cs="David" w:hint="cs"/>
          <w:b/>
          <w:bCs/>
          <w:sz w:val="24"/>
          <w:szCs w:val="24"/>
          <w:rtl/>
        </w:rPr>
        <w:t>"עם פרישת הבעל לגמלאות, הוא ישלם מידי חודש וחודשו סך של 1,196 ₪"</w:t>
      </w:r>
      <w:r>
        <w:rPr>
          <w:rFonts w:ascii="David" w:hAnsi="David" w:cs="David" w:hint="cs"/>
          <w:b/>
          <w:bCs/>
          <w:sz w:val="24"/>
          <w:szCs w:val="24"/>
          <w:rtl/>
        </w:rPr>
        <w:t xml:space="preserve">. </w:t>
      </w:r>
      <w:r>
        <w:rPr>
          <w:rFonts w:ascii="David" w:hAnsi="David" w:cs="David" w:hint="cs"/>
          <w:sz w:val="24"/>
          <w:szCs w:val="24"/>
          <w:rtl/>
        </w:rPr>
        <w:t>לדידו, מאלה עולה</w:t>
      </w:r>
      <w:r w:rsidR="00B02B6C">
        <w:rPr>
          <w:rFonts w:ascii="David" w:hAnsi="David" w:cs="David" w:hint="cs"/>
          <w:sz w:val="24"/>
          <w:szCs w:val="24"/>
          <w:rtl/>
        </w:rPr>
        <w:t>,</w:t>
      </w:r>
      <w:r>
        <w:rPr>
          <w:rFonts w:ascii="David" w:hAnsi="David" w:cs="David" w:hint="cs"/>
          <w:sz w:val="24"/>
          <w:szCs w:val="24"/>
          <w:rtl/>
        </w:rPr>
        <w:t xml:space="preserve"> כי שגה בית משפט קמא כאשר כרך בין הפסקת עבודת המערער לבין יציאתו לפנסיה, וכי מדובר בשתי סיטואציות נפרדות הנבדלות האחת מן השניה, כאשר סע' 1 (ג) מדבר על זכאות המשיבה לחלק מגמלת המערער מידי חודש אך ביציאה לגמלאות</w:t>
      </w:r>
      <w:r w:rsidR="003D66EC">
        <w:rPr>
          <w:rFonts w:ascii="David" w:hAnsi="David" w:cs="David" w:hint="cs"/>
          <w:sz w:val="24"/>
          <w:szCs w:val="24"/>
          <w:rtl/>
        </w:rPr>
        <w:t xml:space="preserve"> ככתוב שם -</w:t>
      </w:r>
      <w:r w:rsidR="003D66EC" w:rsidRPr="003D66EC">
        <w:rPr>
          <w:rFonts w:ascii="David" w:hAnsi="David" w:cs="David" w:hint="cs"/>
          <w:b/>
          <w:bCs/>
          <w:sz w:val="24"/>
          <w:szCs w:val="24"/>
          <w:rtl/>
        </w:rPr>
        <w:t>"עם פרישת הבעל לגמלאות"</w:t>
      </w:r>
      <w:r w:rsidR="003D66EC">
        <w:rPr>
          <w:rFonts w:ascii="David" w:hAnsi="David" w:cs="David" w:hint="cs"/>
          <w:sz w:val="24"/>
          <w:szCs w:val="24"/>
          <w:rtl/>
        </w:rPr>
        <w:t>, היינו</w:t>
      </w:r>
      <w:r>
        <w:rPr>
          <w:rFonts w:ascii="David" w:hAnsi="David" w:cs="David" w:hint="cs"/>
          <w:sz w:val="24"/>
          <w:szCs w:val="24"/>
          <w:rtl/>
        </w:rPr>
        <w:t xml:space="preserve"> בגיל </w:t>
      </w:r>
      <w:r w:rsidR="003D66EC">
        <w:rPr>
          <w:rFonts w:ascii="David" w:hAnsi="David" w:cs="David" w:hint="cs"/>
          <w:sz w:val="24"/>
          <w:szCs w:val="24"/>
          <w:rtl/>
        </w:rPr>
        <w:t>הפרישה הסטטוטורי של 67 בעוד שבסע' 1 (ב) זכאות האשה לסכום החד פעמי מתגבשת "עם פרישת הבעל מעבודה", בכל עת, מבלי לכרוך זאת ביציאה "לגמלאות" בגיל הפרישה על פי החוק</w:t>
      </w:r>
      <w:r w:rsidR="003D66EC" w:rsidRPr="003D66EC">
        <w:rPr>
          <w:rFonts w:ascii="David" w:hAnsi="David" w:cs="David" w:hint="cs"/>
          <w:sz w:val="24"/>
          <w:szCs w:val="24"/>
          <w:rtl/>
        </w:rPr>
        <w:t>.</w:t>
      </w:r>
    </w:p>
    <w:p w:rsidR="00242D5E" w:rsidRDefault="00242D5E" w:rsidP="003D66EC">
      <w:pPr>
        <w:pStyle w:val="ad"/>
        <w:spacing w:line="360" w:lineRule="auto"/>
        <w:jc w:val="both"/>
        <w:rPr>
          <w:rFonts w:ascii="David" w:hAnsi="David" w:cs="David"/>
          <w:sz w:val="24"/>
          <w:szCs w:val="24"/>
          <w:rtl/>
        </w:rPr>
      </w:pPr>
    </w:p>
    <w:p w:rsidR="00373521" w:rsidRPr="003D66EC" w:rsidRDefault="00373521" w:rsidP="003D66EC">
      <w:pPr>
        <w:pStyle w:val="ad"/>
        <w:spacing w:line="360" w:lineRule="auto"/>
        <w:jc w:val="both"/>
        <w:rPr>
          <w:rFonts w:ascii="David" w:hAnsi="David" w:cs="David"/>
          <w:sz w:val="24"/>
          <w:szCs w:val="24"/>
          <w:rtl/>
        </w:rPr>
      </w:pPr>
      <w:r w:rsidRPr="003D66EC">
        <w:rPr>
          <w:rFonts w:ascii="David" w:hAnsi="David" w:cs="David" w:hint="cs"/>
          <w:sz w:val="24"/>
          <w:szCs w:val="24"/>
          <w:rtl/>
        </w:rPr>
        <w:t>עוד לדידו, יש לפרש את ההסכם לפי אומד דעת הצדדים העולה מפורשות ממנו</w:t>
      </w:r>
      <w:r w:rsidR="003D66EC">
        <w:rPr>
          <w:rFonts w:ascii="David" w:hAnsi="David" w:cs="David" w:hint="cs"/>
          <w:sz w:val="24"/>
          <w:szCs w:val="24"/>
          <w:rtl/>
        </w:rPr>
        <w:t>, אשר לא כלל זכויות מעבר לנקובות</w:t>
      </w:r>
      <w:r w:rsidRPr="003D66EC">
        <w:rPr>
          <w:rFonts w:ascii="David" w:hAnsi="David" w:cs="David" w:hint="cs"/>
          <w:sz w:val="24"/>
          <w:szCs w:val="24"/>
          <w:rtl/>
        </w:rPr>
        <w:t xml:space="preserve"> בו המתייחסות לאלה שעד 2007, </w:t>
      </w:r>
      <w:r w:rsidR="00B02B6C">
        <w:rPr>
          <w:rFonts w:ascii="David" w:hAnsi="David" w:cs="David" w:hint="cs"/>
          <w:sz w:val="24"/>
          <w:szCs w:val="24"/>
          <w:rtl/>
        </w:rPr>
        <w:t>כש</w:t>
      </w:r>
      <w:r w:rsidRPr="003D66EC">
        <w:rPr>
          <w:rFonts w:ascii="David" w:hAnsi="David" w:cs="David" w:hint="cs"/>
          <w:sz w:val="24"/>
          <w:szCs w:val="24"/>
          <w:rtl/>
        </w:rPr>
        <w:t>אין בהסכם התייחסות לפנסיה מוקדמת או לקצבה מהמעביד</w:t>
      </w:r>
      <w:r w:rsidR="00B02B6C">
        <w:rPr>
          <w:rFonts w:ascii="David" w:hAnsi="David" w:cs="David" w:hint="cs"/>
          <w:sz w:val="24"/>
          <w:szCs w:val="24"/>
          <w:rtl/>
        </w:rPr>
        <w:t xml:space="preserve">, וכי </w:t>
      </w:r>
      <w:r w:rsidRPr="003D66EC">
        <w:rPr>
          <w:rFonts w:ascii="David" w:hAnsi="David" w:cs="David" w:hint="cs"/>
          <w:sz w:val="24"/>
          <w:szCs w:val="24"/>
          <w:rtl/>
        </w:rPr>
        <w:t xml:space="preserve">הקצבה המשולמת ע"י </w:t>
      </w:r>
      <w:r w:rsidR="001209B4">
        <w:rPr>
          <w:rFonts w:ascii="David" w:hAnsi="David" w:cs="David" w:hint="cs"/>
          <w:sz w:val="24"/>
          <w:szCs w:val="24"/>
          <w:rtl/>
        </w:rPr>
        <w:t>ח</w:t>
      </w:r>
      <w:r w:rsidR="001209B4">
        <w:rPr>
          <w:rFonts w:ascii="David" w:hAnsi="David" w:cs="David"/>
          <w:sz w:val="24"/>
          <w:szCs w:val="24"/>
          <w:rtl/>
        </w:rPr>
        <w:t>'</w:t>
      </w:r>
      <w:r w:rsidR="001209B4">
        <w:rPr>
          <w:rFonts w:ascii="David" w:hAnsi="David" w:cs="David" w:hint="cs"/>
          <w:sz w:val="24"/>
          <w:szCs w:val="24"/>
          <w:rtl/>
        </w:rPr>
        <w:t xml:space="preserve"> נ</w:t>
      </w:r>
      <w:r w:rsidR="001209B4">
        <w:rPr>
          <w:rFonts w:ascii="David" w:hAnsi="David" w:cs="David"/>
          <w:sz w:val="24"/>
          <w:szCs w:val="24"/>
          <w:rtl/>
        </w:rPr>
        <w:t>'</w:t>
      </w:r>
      <w:r w:rsidRPr="003D66EC">
        <w:rPr>
          <w:rFonts w:ascii="David" w:hAnsi="David" w:cs="David" w:hint="cs"/>
          <w:sz w:val="24"/>
          <w:szCs w:val="24"/>
          <w:rtl/>
        </w:rPr>
        <w:t xml:space="preserve"> מקורה אינו בחיים המשותפים או בעקבות צבירה במהלכם, כאשר אין כל זיקה בין השניים.</w:t>
      </w:r>
    </w:p>
    <w:p w:rsidR="00373521" w:rsidRDefault="00373521" w:rsidP="00373521">
      <w:pPr>
        <w:pStyle w:val="ad"/>
        <w:spacing w:line="360" w:lineRule="auto"/>
        <w:jc w:val="both"/>
        <w:rPr>
          <w:rFonts w:ascii="David" w:hAnsi="David" w:cs="David"/>
          <w:sz w:val="24"/>
          <w:szCs w:val="24"/>
          <w:rtl/>
        </w:rPr>
      </w:pPr>
    </w:p>
    <w:p w:rsidR="004465B6" w:rsidRDefault="00373521" w:rsidP="00756E5C">
      <w:pPr>
        <w:pStyle w:val="David"/>
        <w:ind w:left="720"/>
        <w:rPr>
          <w:b/>
          <w:bCs/>
          <w:rtl/>
        </w:rPr>
      </w:pPr>
      <w:r>
        <w:rPr>
          <w:rFonts w:ascii="David" w:hAnsi="David" w:hint="cs"/>
          <w:rtl/>
        </w:rPr>
        <w:t>מנגד טענה המשיבה בכתב ובעל פה,</w:t>
      </w:r>
      <w:r w:rsidR="00C26613">
        <w:rPr>
          <w:rFonts w:ascii="David" w:hAnsi="David"/>
          <w:rtl/>
        </w:rPr>
        <w:t xml:space="preserve"> כי </w:t>
      </w:r>
      <w:r>
        <w:rPr>
          <w:rFonts w:ascii="David" w:hAnsi="David" w:hint="cs"/>
          <w:rtl/>
        </w:rPr>
        <w:t xml:space="preserve">צדק בית משפט קמא בקביעותיו המבוססות על התשתית הראייתית שהונחה לפניו ובעיקר מעמדת </w:t>
      </w:r>
      <w:r w:rsidR="001209B4">
        <w:rPr>
          <w:rFonts w:ascii="David" w:hAnsi="David" w:hint="cs"/>
          <w:rtl/>
        </w:rPr>
        <w:t>ח</w:t>
      </w:r>
      <w:r w:rsidR="001209B4">
        <w:rPr>
          <w:rFonts w:ascii="David" w:hAnsi="David"/>
          <w:rtl/>
        </w:rPr>
        <w:t>'</w:t>
      </w:r>
      <w:r w:rsidR="001209B4">
        <w:rPr>
          <w:rFonts w:ascii="David" w:hAnsi="David" w:hint="cs"/>
          <w:rtl/>
        </w:rPr>
        <w:t xml:space="preserve"> נ</w:t>
      </w:r>
      <w:r w:rsidR="001209B4">
        <w:rPr>
          <w:rFonts w:ascii="David" w:hAnsi="David"/>
          <w:rtl/>
        </w:rPr>
        <w:t>'</w:t>
      </w:r>
      <w:r>
        <w:rPr>
          <w:rFonts w:ascii="David" w:hAnsi="David" w:hint="cs"/>
          <w:rtl/>
        </w:rPr>
        <w:t xml:space="preserve"> ביחס לנסיבות פרישת המערער וכי</w:t>
      </w:r>
      <w:r w:rsidR="00C26613">
        <w:rPr>
          <w:rFonts w:ascii="David" w:hAnsi="David"/>
          <w:rtl/>
        </w:rPr>
        <w:t xml:space="preserve"> </w:t>
      </w:r>
      <w:r>
        <w:rPr>
          <w:rFonts w:ascii="David" w:hAnsi="David" w:hint="cs"/>
          <w:rtl/>
        </w:rPr>
        <w:t xml:space="preserve">יצא </w:t>
      </w:r>
      <w:r w:rsidR="00C26613">
        <w:rPr>
          <w:rFonts w:ascii="David" w:hAnsi="David"/>
          <w:rtl/>
        </w:rPr>
        <w:t xml:space="preserve">לפנסיה מוקדמת מרצון. לטענתה, </w:t>
      </w:r>
      <w:r w:rsidR="004465B6">
        <w:rPr>
          <w:rFonts w:ascii="David" w:hAnsi="David" w:hint="cs"/>
          <w:rtl/>
        </w:rPr>
        <w:t>טענות המערער בערעורו חורגות מהטענות שהעלה לפני בית משפט קמא, וחשוב מכך, מהמתווה המוסכם שנקבע לבירור התובענה בהתאם לפסק דינו של בית משפט זה</w:t>
      </w:r>
      <w:r w:rsidR="00B02B6C">
        <w:rPr>
          <w:rFonts w:ascii="David" w:hAnsi="David" w:hint="cs"/>
          <w:rtl/>
        </w:rPr>
        <w:t xml:space="preserve"> שניתן בערעורה</w:t>
      </w:r>
      <w:r w:rsidR="004465B6">
        <w:rPr>
          <w:rFonts w:ascii="David" w:hAnsi="David" w:hint="cs"/>
          <w:rtl/>
        </w:rPr>
        <w:t xml:space="preserve"> בעבר בעקבות דחית תביעתה ע</w:t>
      </w:r>
      <w:r w:rsidR="00B02B6C">
        <w:rPr>
          <w:rFonts w:ascii="David" w:hAnsi="David" w:hint="cs"/>
          <w:rtl/>
        </w:rPr>
        <w:t xml:space="preserve">ל הסף. כזכור, הדיון הוחזר לבית </w:t>
      </w:r>
      <w:r w:rsidR="004465B6">
        <w:rPr>
          <w:rFonts w:ascii="David" w:hAnsi="David" w:hint="cs"/>
          <w:rtl/>
        </w:rPr>
        <w:t>משפט קמא, לשם שמיעת ראיות ועדויות הצדדים, ובהתאם להסכמות שניתן להן תוקף של פסק דין בערעור, לפיהן:</w:t>
      </w:r>
      <w:r w:rsidR="004465B6" w:rsidRPr="004465B6">
        <w:rPr>
          <w:b/>
          <w:bCs/>
          <w:u w:val="single"/>
          <w:rtl/>
        </w:rPr>
        <w:t xml:space="preserve"> </w:t>
      </w:r>
    </w:p>
    <w:p w:rsidR="00756E5C" w:rsidRPr="004465B6" w:rsidRDefault="00756E5C" w:rsidP="00756E5C">
      <w:pPr>
        <w:pStyle w:val="David"/>
        <w:ind w:left="720"/>
        <w:rPr>
          <w:b/>
          <w:bCs/>
          <w:rtl/>
        </w:rPr>
      </w:pPr>
    </w:p>
    <w:p w:rsidR="004465B6" w:rsidRPr="004465B6" w:rsidRDefault="004465B6" w:rsidP="00756E5C">
      <w:pPr>
        <w:pStyle w:val="David"/>
        <w:ind w:left="1440"/>
        <w:rPr>
          <w:b/>
          <w:bCs/>
          <w:rtl/>
        </w:rPr>
      </w:pPr>
      <w:r w:rsidRPr="004465B6">
        <w:rPr>
          <w:rFonts w:hint="cs"/>
          <w:b/>
          <w:bCs/>
          <w:rtl/>
        </w:rPr>
        <w:t>"</w:t>
      </w:r>
      <w:r>
        <w:rPr>
          <w:rFonts w:hint="cs"/>
          <w:rtl/>
        </w:rPr>
        <w:t xml:space="preserve"> </w:t>
      </w:r>
      <w:r w:rsidRPr="004465B6">
        <w:rPr>
          <w:b/>
          <w:bCs/>
          <w:rtl/>
        </w:rPr>
        <w:t>שמענו את הערות ההרכב והצעתו, והיא מקובלת על שנינו.</w:t>
      </w:r>
    </w:p>
    <w:p w:rsidR="004465B6" w:rsidRPr="004465B6" w:rsidRDefault="004465B6" w:rsidP="00756E5C">
      <w:pPr>
        <w:pStyle w:val="David"/>
        <w:ind w:left="1440"/>
        <w:rPr>
          <w:b/>
          <w:bCs/>
          <w:rtl/>
        </w:rPr>
      </w:pPr>
      <w:r w:rsidRPr="004465B6">
        <w:rPr>
          <w:b/>
          <w:bCs/>
          <w:rtl/>
        </w:rPr>
        <w:t>אי לכך מבלי לפגוע בשום טענה מטענות הצדדים מבוקש בהסכמה לבטל את פסק דינו של בית משפט קמא, כך שהדיון יוחזר אליו לשם הכרעה בתובענה לאחר שמיעת עדויות וראיות הצדדים, וזאת בהקשר לאופי הפנסיה המשולמת למשיב ושאלת זכאותה של המערערת מתוך אותה פנסיה.</w:t>
      </w:r>
    </w:p>
    <w:p w:rsidR="004465B6" w:rsidRPr="004465B6" w:rsidRDefault="004465B6" w:rsidP="00756E5C">
      <w:pPr>
        <w:pStyle w:val="David"/>
        <w:ind w:left="1440"/>
        <w:rPr>
          <w:b/>
          <w:bCs/>
          <w:rtl/>
        </w:rPr>
      </w:pPr>
      <w:r w:rsidRPr="004465B6">
        <w:rPr>
          <w:b/>
          <w:bCs/>
          <w:rtl/>
        </w:rPr>
        <w:t>עוד מקובל על הצדדים כי עם ביטול פסק הדין קמא, יבוטלו ההוצאות שהושתו על המערערת במסגרתו, אולם השבתך לידיה תהא בכפוף להוצאות פסק הדין שיינתן בבית משפט קמא.</w:t>
      </w:r>
    </w:p>
    <w:p w:rsidR="004465B6" w:rsidRDefault="004465B6" w:rsidP="00756E5C">
      <w:pPr>
        <w:pStyle w:val="David"/>
        <w:ind w:left="720" w:firstLine="720"/>
        <w:rPr>
          <w:rtl/>
        </w:rPr>
      </w:pPr>
      <w:r w:rsidRPr="004465B6">
        <w:rPr>
          <w:b/>
          <w:bCs/>
          <w:rtl/>
        </w:rPr>
        <w:t>לצד זאת כל צד</w:t>
      </w:r>
      <w:r>
        <w:rPr>
          <w:b/>
          <w:bCs/>
          <w:rtl/>
        </w:rPr>
        <w:t xml:space="preserve"> יישא בהוצאותיו במסגרת ערעור זה</w:t>
      </w:r>
      <w:r>
        <w:rPr>
          <w:rFonts w:hint="cs"/>
          <w:b/>
          <w:bCs/>
          <w:rtl/>
        </w:rPr>
        <w:t>".</w:t>
      </w:r>
    </w:p>
    <w:p w:rsidR="00756E5C" w:rsidRDefault="00756E5C" w:rsidP="004465B6">
      <w:pPr>
        <w:pStyle w:val="David"/>
        <w:rPr>
          <w:rtl/>
        </w:rPr>
      </w:pPr>
    </w:p>
    <w:p w:rsidR="00756E5C" w:rsidRDefault="004465B6" w:rsidP="00756E5C">
      <w:pPr>
        <w:pStyle w:val="David"/>
        <w:ind w:left="720"/>
        <w:rPr>
          <w:rtl/>
        </w:rPr>
      </w:pPr>
      <w:r>
        <w:rPr>
          <w:rFonts w:hint="cs"/>
          <w:rtl/>
        </w:rPr>
        <w:t>לטענת המערערת, כל שעל בית משפט קמא היה לבחון האם הפנסיה המוקדמת היא פנסיה רפואית, וכי יתר הטענות אותן מעלה המערער בגדרי ערעורו, לא הועלו קודם וממילא, לא היה על בית משפט קמא ליתן דעתו עליהן, משאלה חורגות מגדר המחלוקת כמתחייב מהסכמות הצדדים בערעור המשיבה, וממהלך ההתדיינות לפני בית משפט קמא.</w:t>
      </w:r>
    </w:p>
    <w:p w:rsidR="00756E5C" w:rsidRPr="00756E5C" w:rsidRDefault="00756E5C" w:rsidP="003D66EC">
      <w:pPr>
        <w:pStyle w:val="David"/>
        <w:rPr>
          <w:rtl/>
        </w:rPr>
      </w:pPr>
    </w:p>
    <w:p w:rsidR="00C26613" w:rsidRDefault="00C26613" w:rsidP="00756E5C">
      <w:pPr>
        <w:spacing w:line="360" w:lineRule="auto"/>
        <w:ind w:left="360"/>
        <w:jc w:val="both"/>
        <w:rPr>
          <w:rFonts w:ascii="David" w:hAnsi="David"/>
          <w:b/>
          <w:bCs/>
          <w:u w:val="single"/>
        </w:rPr>
      </w:pPr>
      <w:r>
        <w:rPr>
          <w:rFonts w:ascii="David" w:hAnsi="David"/>
          <w:b/>
          <w:bCs/>
          <w:u w:val="single"/>
          <w:rtl/>
        </w:rPr>
        <w:t>דיון והכרעה</w:t>
      </w:r>
    </w:p>
    <w:p w:rsidR="00C26613" w:rsidRDefault="00373521" w:rsidP="00C2661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לאחר </w:t>
      </w:r>
      <w:r>
        <w:rPr>
          <w:rFonts w:ascii="David" w:hAnsi="David" w:cs="David" w:hint="cs"/>
          <w:sz w:val="24"/>
          <w:szCs w:val="24"/>
          <w:rtl/>
        </w:rPr>
        <w:t>שקילה של טענות הצדדים בכתב ובעל פה, וכן עיון במלוא החומר שהניחו לפנינו לרבות כתבי סיכומים ש</w:t>
      </w:r>
      <w:r w:rsidR="00B02B6C">
        <w:rPr>
          <w:rFonts w:ascii="David" w:hAnsi="David" w:cs="David" w:hint="cs"/>
          <w:sz w:val="24"/>
          <w:szCs w:val="24"/>
          <w:rtl/>
        </w:rPr>
        <w:t>הוגשו לפני בית משפט קמא, מסקנתי</w:t>
      </w:r>
      <w:r>
        <w:rPr>
          <w:rFonts w:ascii="David" w:hAnsi="David" w:cs="David" w:hint="cs"/>
          <w:sz w:val="24"/>
          <w:szCs w:val="24"/>
          <w:rtl/>
        </w:rPr>
        <w:t xml:space="preserve"> היא, כי דין הערעור להידחות.</w:t>
      </w:r>
    </w:p>
    <w:p w:rsidR="00373521" w:rsidRDefault="00373521" w:rsidP="00373521">
      <w:pPr>
        <w:pStyle w:val="ad"/>
        <w:spacing w:line="360" w:lineRule="auto"/>
        <w:jc w:val="both"/>
        <w:rPr>
          <w:rFonts w:ascii="David" w:hAnsi="David" w:cs="David"/>
          <w:sz w:val="24"/>
          <w:szCs w:val="24"/>
          <w:rtl/>
        </w:rPr>
      </w:pPr>
    </w:p>
    <w:p w:rsidR="00756E5C" w:rsidRDefault="00B02B6C" w:rsidP="004465B6">
      <w:pPr>
        <w:pStyle w:val="ad"/>
        <w:numPr>
          <w:ilvl w:val="0"/>
          <w:numId w:val="1"/>
        </w:numPr>
        <w:spacing w:line="360" w:lineRule="auto"/>
        <w:jc w:val="both"/>
        <w:rPr>
          <w:rFonts w:ascii="David" w:hAnsi="David" w:cs="David"/>
          <w:sz w:val="24"/>
          <w:szCs w:val="24"/>
        </w:rPr>
      </w:pPr>
      <w:r>
        <w:rPr>
          <w:rFonts w:ascii="David" w:hAnsi="David" w:cs="David" w:hint="cs"/>
          <w:sz w:val="24"/>
          <w:szCs w:val="24"/>
          <w:rtl/>
        </w:rPr>
        <w:t>תחילה א</w:t>
      </w:r>
      <w:r w:rsidR="00756E5C">
        <w:rPr>
          <w:rFonts w:ascii="David" w:hAnsi="David" w:cs="David" w:hint="cs"/>
          <w:sz w:val="24"/>
          <w:szCs w:val="24"/>
          <w:rtl/>
        </w:rPr>
        <w:t xml:space="preserve">בהיר את המובן מאליו. </w:t>
      </w:r>
      <w:r w:rsidR="00756E5C">
        <w:rPr>
          <w:rFonts w:ascii="David" w:hAnsi="David" w:cs="David"/>
          <w:sz w:val="24"/>
          <w:szCs w:val="24"/>
          <w:rtl/>
        </w:rPr>
        <w:t xml:space="preserve">"פנסיה מוקדמת" היא תשלום חודשי שמשלם המעביד לעובד שפרש מעבודתו לפני הגיעו לגיל פנסיה הקבוע בחוק ובתקנוני קרנות הפנסיה. </w:t>
      </w:r>
      <w:r w:rsidR="00756E5C">
        <w:rPr>
          <w:rFonts w:ascii="David" w:hAnsi="David" w:cs="David" w:hint="cs"/>
          <w:sz w:val="24"/>
          <w:szCs w:val="24"/>
          <w:rtl/>
        </w:rPr>
        <w:t>היא</w:t>
      </w:r>
      <w:r w:rsidR="00756E5C">
        <w:rPr>
          <w:rFonts w:ascii="David" w:hAnsi="David" w:cs="David"/>
          <w:sz w:val="24"/>
          <w:szCs w:val="24"/>
          <w:rtl/>
        </w:rPr>
        <w:t xml:space="preserve"> משו</w:t>
      </w:r>
      <w:r w:rsidR="00756E5C">
        <w:rPr>
          <w:rFonts w:ascii="David" w:hAnsi="David" w:cs="David" w:hint="cs"/>
          <w:sz w:val="24"/>
          <w:szCs w:val="24"/>
          <w:rtl/>
        </w:rPr>
        <w:t>למת</w:t>
      </w:r>
      <w:r w:rsidR="00756E5C">
        <w:rPr>
          <w:rFonts w:ascii="David" w:hAnsi="David" w:cs="David"/>
          <w:sz w:val="24"/>
          <w:szCs w:val="24"/>
          <w:rtl/>
        </w:rPr>
        <w:t xml:space="preserve"> עד הגיעו של העובד לגיל הפנסיה וממועד זה ואילך משולמת הפנסיה הרגילה</w:t>
      </w:r>
      <w:r w:rsidR="00756E5C">
        <w:rPr>
          <w:rFonts w:ascii="David" w:hAnsi="David" w:cs="David" w:hint="cs"/>
          <w:sz w:val="24"/>
          <w:szCs w:val="24"/>
          <w:rtl/>
        </w:rPr>
        <w:t>.</w:t>
      </w:r>
    </w:p>
    <w:p w:rsidR="00756E5C" w:rsidRPr="00756E5C" w:rsidRDefault="00756E5C" w:rsidP="00756E5C">
      <w:pPr>
        <w:pStyle w:val="ad"/>
        <w:rPr>
          <w:rFonts w:ascii="David" w:hAnsi="David" w:cs="David"/>
          <w:sz w:val="24"/>
          <w:szCs w:val="24"/>
          <w:rtl/>
        </w:rPr>
      </w:pPr>
    </w:p>
    <w:p w:rsidR="004465B6" w:rsidRDefault="004465B6" w:rsidP="004465B6">
      <w:pPr>
        <w:pStyle w:val="ad"/>
        <w:numPr>
          <w:ilvl w:val="0"/>
          <w:numId w:val="1"/>
        </w:numPr>
        <w:spacing w:line="360" w:lineRule="auto"/>
        <w:jc w:val="both"/>
        <w:rPr>
          <w:rFonts w:ascii="David" w:hAnsi="David" w:cs="David"/>
          <w:sz w:val="24"/>
          <w:szCs w:val="24"/>
        </w:rPr>
      </w:pPr>
      <w:r>
        <w:rPr>
          <w:rFonts w:ascii="David" w:hAnsi="David" w:cs="David" w:hint="cs"/>
          <w:sz w:val="24"/>
          <w:szCs w:val="24"/>
          <w:rtl/>
        </w:rPr>
        <w:t>בית משפט קמא התמקד בפסק דינו בשאלה האם הפנסיה המוקדמת משולמת בעטיו של מצב בריאותי לקוי של המערער, היינו, האם מדובר בפנסיה רפואית וכן בשאלה האם</w:t>
      </w:r>
      <w:r w:rsidR="00756E5C">
        <w:rPr>
          <w:rFonts w:ascii="David" w:hAnsi="David" w:cs="David" w:hint="cs"/>
          <w:sz w:val="24"/>
          <w:szCs w:val="24"/>
          <w:rtl/>
        </w:rPr>
        <w:t xml:space="preserve"> פרישת המערער</w:t>
      </w:r>
      <w:r>
        <w:rPr>
          <w:rFonts w:ascii="David" w:hAnsi="David" w:cs="David" w:hint="cs"/>
          <w:sz w:val="24"/>
          <w:szCs w:val="24"/>
          <w:rtl/>
        </w:rPr>
        <w:t xml:space="preserve"> נכפתה עליו בשל מצב זה, או שמדובר בפנסיה בעקבות פרישה מוקדמת ורצונית של המערער. </w:t>
      </w:r>
    </w:p>
    <w:p w:rsidR="004465B6" w:rsidRPr="004465B6" w:rsidRDefault="004465B6" w:rsidP="004465B6">
      <w:pPr>
        <w:pStyle w:val="ad"/>
        <w:rPr>
          <w:rFonts w:ascii="David" w:hAnsi="David" w:cs="David"/>
          <w:sz w:val="24"/>
          <w:szCs w:val="24"/>
          <w:rtl/>
        </w:rPr>
      </w:pPr>
    </w:p>
    <w:p w:rsidR="00C26613" w:rsidRPr="00756E5C" w:rsidRDefault="003D66EC" w:rsidP="00756E5C">
      <w:pPr>
        <w:pStyle w:val="ad"/>
        <w:spacing w:line="360" w:lineRule="auto"/>
        <w:jc w:val="both"/>
        <w:rPr>
          <w:rFonts w:ascii="David" w:hAnsi="David" w:cs="David"/>
          <w:sz w:val="24"/>
          <w:szCs w:val="24"/>
        </w:rPr>
      </w:pPr>
      <w:r>
        <w:rPr>
          <w:rFonts w:ascii="David" w:hAnsi="David" w:cs="David" w:hint="cs"/>
          <w:sz w:val="24"/>
          <w:szCs w:val="24"/>
          <w:rtl/>
        </w:rPr>
        <w:t xml:space="preserve">בהקשר זה נראה כי </w:t>
      </w:r>
      <w:r w:rsidR="00373521">
        <w:rPr>
          <w:rFonts w:ascii="David" w:hAnsi="David" w:cs="David" w:hint="cs"/>
          <w:sz w:val="24"/>
          <w:szCs w:val="24"/>
          <w:rtl/>
        </w:rPr>
        <w:t xml:space="preserve">עמדתה הברורה של </w:t>
      </w:r>
      <w:r w:rsidR="00C26613">
        <w:rPr>
          <w:rFonts w:ascii="David" w:hAnsi="David" w:cs="David"/>
          <w:sz w:val="24"/>
          <w:szCs w:val="24"/>
          <w:rtl/>
        </w:rPr>
        <w:t>המחל</w:t>
      </w:r>
      <w:r w:rsidR="00373521">
        <w:rPr>
          <w:rFonts w:ascii="David" w:hAnsi="David" w:cs="David"/>
          <w:sz w:val="24"/>
          <w:szCs w:val="24"/>
          <w:rtl/>
        </w:rPr>
        <w:t xml:space="preserve">קה המשפטית של </w:t>
      </w:r>
      <w:r w:rsidR="001209B4">
        <w:rPr>
          <w:rFonts w:ascii="David" w:hAnsi="David" w:cs="David"/>
          <w:sz w:val="24"/>
          <w:szCs w:val="24"/>
          <w:rtl/>
        </w:rPr>
        <w:t>ח' נ'</w:t>
      </w:r>
      <w:r w:rsidR="004465B6">
        <w:rPr>
          <w:rFonts w:ascii="David" w:hAnsi="David" w:cs="David" w:hint="cs"/>
          <w:sz w:val="24"/>
          <w:szCs w:val="24"/>
          <w:rtl/>
        </w:rPr>
        <w:t>, מעסיקתו</w:t>
      </w:r>
      <w:r w:rsidR="00373521">
        <w:rPr>
          <w:rFonts w:ascii="David" w:hAnsi="David" w:cs="David" w:hint="cs"/>
          <w:sz w:val="24"/>
          <w:szCs w:val="24"/>
          <w:rtl/>
        </w:rPr>
        <w:t xml:space="preserve"> של המערער והנושאת בתשלום הגמלה,</w:t>
      </w:r>
      <w:r w:rsidR="00373521">
        <w:rPr>
          <w:rFonts w:ascii="David" w:hAnsi="David" w:cs="David"/>
          <w:sz w:val="24"/>
          <w:szCs w:val="24"/>
          <w:rtl/>
        </w:rPr>
        <w:t xml:space="preserve"> </w:t>
      </w:r>
      <w:r w:rsidR="00756E5C">
        <w:rPr>
          <w:rFonts w:ascii="David" w:hAnsi="David" w:cs="David" w:hint="cs"/>
          <w:sz w:val="24"/>
          <w:szCs w:val="24"/>
          <w:rtl/>
        </w:rPr>
        <w:t xml:space="preserve">ובהעדר ראיות ואסמכתאות סותרות מטעם המערער, </w:t>
      </w:r>
      <w:r w:rsidR="00373521">
        <w:rPr>
          <w:rFonts w:ascii="David" w:hAnsi="David" w:cs="David" w:hint="cs"/>
          <w:sz w:val="24"/>
          <w:szCs w:val="24"/>
          <w:rtl/>
        </w:rPr>
        <w:t>היה בה די כדי להכריע בש</w:t>
      </w:r>
      <w:r w:rsidR="004465B6">
        <w:rPr>
          <w:rFonts w:ascii="David" w:hAnsi="David" w:cs="David" w:hint="cs"/>
          <w:sz w:val="24"/>
          <w:szCs w:val="24"/>
          <w:rtl/>
        </w:rPr>
        <w:t>אלה זו לטובת המשיבה, וכי הפנסיה אינה רפואית ופרישת המערער היתה רצונית על פי בחירתו</w:t>
      </w:r>
      <w:r w:rsidR="00756E5C">
        <w:rPr>
          <w:rFonts w:ascii="David" w:hAnsi="David" w:cs="David" w:hint="cs"/>
          <w:sz w:val="24"/>
          <w:szCs w:val="24"/>
          <w:rtl/>
        </w:rPr>
        <w:t>.</w:t>
      </w:r>
    </w:p>
    <w:p w:rsidR="004465B6" w:rsidRPr="00756E5C" w:rsidRDefault="004465B6" w:rsidP="004465B6">
      <w:pPr>
        <w:pStyle w:val="ad"/>
        <w:spacing w:line="360" w:lineRule="auto"/>
        <w:jc w:val="both"/>
        <w:rPr>
          <w:rFonts w:ascii="David" w:hAnsi="David" w:cs="David"/>
          <w:sz w:val="24"/>
          <w:szCs w:val="24"/>
        </w:rPr>
      </w:pPr>
    </w:p>
    <w:p w:rsidR="00373521" w:rsidRDefault="004465B6" w:rsidP="00B02B6C">
      <w:pPr>
        <w:pStyle w:val="ad"/>
        <w:numPr>
          <w:ilvl w:val="0"/>
          <w:numId w:val="1"/>
        </w:numPr>
        <w:spacing w:line="360" w:lineRule="auto"/>
        <w:jc w:val="both"/>
        <w:rPr>
          <w:rFonts w:ascii="David" w:hAnsi="David" w:cs="David"/>
          <w:sz w:val="24"/>
          <w:szCs w:val="24"/>
        </w:rPr>
      </w:pPr>
      <w:r>
        <w:rPr>
          <w:rFonts w:ascii="David" w:hAnsi="David" w:cs="David" w:hint="cs"/>
          <w:sz w:val="24"/>
          <w:szCs w:val="24"/>
          <w:rtl/>
        </w:rPr>
        <w:t>לא רק זאת, אלא ש</w:t>
      </w:r>
      <w:r w:rsidR="00373521">
        <w:rPr>
          <w:rFonts w:ascii="David" w:hAnsi="David" w:cs="David" w:hint="cs"/>
          <w:sz w:val="24"/>
          <w:szCs w:val="24"/>
          <w:rtl/>
        </w:rPr>
        <w:t xml:space="preserve">שורה </w:t>
      </w:r>
      <w:r>
        <w:rPr>
          <w:rFonts w:ascii="David" w:hAnsi="David" w:cs="David" w:hint="cs"/>
          <w:sz w:val="24"/>
          <w:szCs w:val="24"/>
          <w:rtl/>
        </w:rPr>
        <w:t>ארוכה של פסקי דין שעסקו</w:t>
      </w:r>
      <w:r w:rsidR="00373521">
        <w:rPr>
          <w:rFonts w:ascii="David" w:hAnsi="David" w:cs="David" w:hint="cs"/>
          <w:sz w:val="24"/>
          <w:szCs w:val="24"/>
          <w:rtl/>
        </w:rPr>
        <w:t xml:space="preserve"> במעמדה של פנסיה מוקדמת, הן קודם לחקיקת החוק לחלוקת חיסכון פנסיוני</w:t>
      </w:r>
      <w:r w:rsidR="00B02B6C">
        <w:rPr>
          <w:rFonts w:ascii="David" w:hAnsi="David" w:cs="David" w:hint="cs"/>
          <w:sz w:val="24"/>
          <w:szCs w:val="24"/>
          <w:rtl/>
        </w:rPr>
        <w:t xml:space="preserve"> </w:t>
      </w:r>
      <w:r w:rsidR="00373521">
        <w:rPr>
          <w:rFonts w:ascii="David" w:hAnsi="David" w:cs="David" w:hint="cs"/>
          <w:sz w:val="24"/>
          <w:szCs w:val="24"/>
          <w:rtl/>
        </w:rPr>
        <w:t xml:space="preserve">והן לאחריו, מציגים עמדה עקבית </w:t>
      </w:r>
      <w:r>
        <w:rPr>
          <w:rFonts w:ascii="David" w:hAnsi="David" w:cs="David" w:hint="cs"/>
          <w:sz w:val="24"/>
          <w:szCs w:val="24"/>
          <w:rtl/>
        </w:rPr>
        <w:t>ה</w:t>
      </w:r>
      <w:r w:rsidR="00373521">
        <w:rPr>
          <w:rFonts w:ascii="David" w:hAnsi="David" w:cs="David" w:hint="cs"/>
          <w:sz w:val="24"/>
          <w:szCs w:val="24"/>
          <w:rtl/>
        </w:rPr>
        <w:t>תומכת במסקנתו ובקביעתו</w:t>
      </w:r>
      <w:r>
        <w:rPr>
          <w:rFonts w:ascii="David" w:hAnsi="David" w:cs="David" w:hint="cs"/>
          <w:sz w:val="24"/>
          <w:szCs w:val="24"/>
          <w:rtl/>
        </w:rPr>
        <w:t xml:space="preserve"> של בית משפט קמא</w:t>
      </w:r>
      <w:r w:rsidR="00373521">
        <w:rPr>
          <w:rFonts w:ascii="David" w:hAnsi="David" w:cs="David" w:hint="cs"/>
          <w:sz w:val="24"/>
          <w:szCs w:val="24"/>
          <w:rtl/>
        </w:rPr>
        <w:t xml:space="preserve">: </w:t>
      </w:r>
    </w:p>
    <w:p w:rsidR="00373521" w:rsidRPr="004465B6" w:rsidRDefault="00373521" w:rsidP="00373521">
      <w:pPr>
        <w:pStyle w:val="ad"/>
        <w:spacing w:line="360" w:lineRule="auto"/>
        <w:jc w:val="both"/>
        <w:rPr>
          <w:rFonts w:ascii="David" w:hAnsi="David" w:cs="David"/>
          <w:sz w:val="24"/>
          <w:szCs w:val="24"/>
        </w:rPr>
      </w:pPr>
    </w:p>
    <w:p w:rsidR="00373521" w:rsidRDefault="00373521" w:rsidP="00373521">
      <w:pPr>
        <w:pStyle w:val="ad"/>
        <w:spacing w:line="360" w:lineRule="auto"/>
        <w:jc w:val="both"/>
        <w:rPr>
          <w:rFonts w:ascii="David" w:hAnsi="David" w:cs="David"/>
          <w:sz w:val="24"/>
          <w:szCs w:val="24"/>
          <w:rtl/>
        </w:rPr>
      </w:pPr>
      <w:r>
        <w:rPr>
          <w:rFonts w:ascii="David" w:hAnsi="David" w:cs="David"/>
          <w:sz w:val="24"/>
          <w:szCs w:val="24"/>
          <w:rtl/>
        </w:rPr>
        <w:t>ב</w:t>
      </w:r>
      <w:r>
        <w:rPr>
          <w:rFonts w:ascii="David" w:hAnsi="David" w:cs="David" w:hint="cs"/>
          <w:sz w:val="24"/>
          <w:szCs w:val="24"/>
          <w:rtl/>
        </w:rPr>
        <w:t>-</w:t>
      </w:r>
      <w:r>
        <w:rPr>
          <w:rFonts w:ascii="David" w:hAnsi="David" w:cs="David"/>
          <w:sz w:val="24"/>
          <w:szCs w:val="24"/>
          <w:rtl/>
        </w:rPr>
        <w:t>בע"מ</w:t>
      </w:r>
      <w:r w:rsidR="00C26613">
        <w:rPr>
          <w:rFonts w:ascii="David" w:hAnsi="David" w:cs="David"/>
          <w:sz w:val="24"/>
          <w:szCs w:val="24"/>
          <w:rtl/>
        </w:rPr>
        <w:t xml:space="preserve"> 1018/04</w:t>
      </w:r>
      <w:r>
        <w:rPr>
          <w:rFonts w:ascii="David" w:hAnsi="David" w:cs="David" w:hint="cs"/>
          <w:b/>
          <w:bCs/>
          <w:sz w:val="24"/>
          <w:szCs w:val="24"/>
          <w:rtl/>
        </w:rPr>
        <w:t xml:space="preserve"> פרטוש נ' פרטוש </w:t>
      </w:r>
      <w:r w:rsidR="00C26613">
        <w:rPr>
          <w:rFonts w:ascii="David" w:hAnsi="David" w:cs="David"/>
          <w:sz w:val="24"/>
          <w:szCs w:val="24"/>
          <w:rtl/>
        </w:rPr>
        <w:t>[פורסם בנבו] (</w:t>
      </w:r>
      <w:r>
        <w:rPr>
          <w:rFonts w:ascii="David" w:hAnsi="David" w:cs="David" w:hint="cs"/>
          <w:sz w:val="24"/>
          <w:szCs w:val="24"/>
          <w:rtl/>
        </w:rPr>
        <w:t>18.05.2005</w:t>
      </w:r>
      <w:r>
        <w:rPr>
          <w:rFonts w:ascii="David" w:hAnsi="David" w:cs="David"/>
          <w:sz w:val="24"/>
          <w:szCs w:val="24"/>
          <w:rtl/>
        </w:rPr>
        <w:t xml:space="preserve">) </w:t>
      </w:r>
      <w:r>
        <w:rPr>
          <w:rFonts w:ascii="David" w:hAnsi="David" w:cs="David" w:hint="cs"/>
          <w:sz w:val="24"/>
          <w:szCs w:val="24"/>
          <w:rtl/>
        </w:rPr>
        <w:t>בחן</w:t>
      </w:r>
      <w:r w:rsidR="00C26613">
        <w:rPr>
          <w:rFonts w:ascii="David" w:hAnsi="David" w:cs="David"/>
          <w:sz w:val="24"/>
          <w:szCs w:val="24"/>
          <w:rtl/>
        </w:rPr>
        <w:t xml:space="preserve"> בית </w:t>
      </w:r>
      <w:r>
        <w:rPr>
          <w:rFonts w:ascii="David" w:hAnsi="David" w:cs="David"/>
          <w:sz w:val="24"/>
          <w:szCs w:val="24"/>
          <w:rtl/>
        </w:rPr>
        <w:t xml:space="preserve">המשפט העליון </w:t>
      </w:r>
      <w:r>
        <w:rPr>
          <w:rFonts w:ascii="David" w:hAnsi="David" w:cs="David" w:hint="cs"/>
          <w:sz w:val="24"/>
          <w:szCs w:val="24"/>
          <w:rtl/>
        </w:rPr>
        <w:t>מעמדה</w:t>
      </w:r>
      <w:r w:rsidR="00C26613">
        <w:rPr>
          <w:rFonts w:ascii="David" w:hAnsi="David" w:cs="David"/>
          <w:sz w:val="24"/>
          <w:szCs w:val="24"/>
          <w:rtl/>
        </w:rPr>
        <w:t xml:space="preserve"> </w:t>
      </w:r>
      <w:r>
        <w:rPr>
          <w:rFonts w:ascii="David" w:hAnsi="David" w:cs="David" w:hint="cs"/>
          <w:sz w:val="24"/>
          <w:szCs w:val="24"/>
          <w:rtl/>
        </w:rPr>
        <w:t xml:space="preserve">של </w:t>
      </w:r>
      <w:r w:rsidR="00B02B6C">
        <w:rPr>
          <w:rFonts w:ascii="David" w:hAnsi="David" w:cs="David"/>
          <w:sz w:val="24"/>
          <w:szCs w:val="24"/>
          <w:rtl/>
        </w:rPr>
        <w:t xml:space="preserve">פנסיה מוקדמת אשר שולמה לבעל </w:t>
      </w:r>
      <w:r w:rsidR="00B02B6C">
        <w:rPr>
          <w:rFonts w:ascii="David" w:hAnsi="David" w:cs="David" w:hint="cs"/>
          <w:sz w:val="24"/>
          <w:szCs w:val="24"/>
          <w:rtl/>
        </w:rPr>
        <w:t>ש</w:t>
      </w:r>
      <w:r w:rsidR="00C26613">
        <w:rPr>
          <w:rFonts w:ascii="David" w:hAnsi="David" w:cs="David"/>
          <w:sz w:val="24"/>
          <w:szCs w:val="24"/>
          <w:rtl/>
        </w:rPr>
        <w:t>פוטר מעבודתו בשב"ס</w:t>
      </w:r>
      <w:r>
        <w:rPr>
          <w:rFonts w:ascii="David" w:hAnsi="David" w:cs="David" w:hint="cs"/>
          <w:sz w:val="24"/>
          <w:szCs w:val="24"/>
          <w:rtl/>
        </w:rPr>
        <w:t>,</w:t>
      </w:r>
      <w:r w:rsidR="00C26613">
        <w:rPr>
          <w:rFonts w:ascii="David" w:hAnsi="David" w:cs="David"/>
          <w:sz w:val="24"/>
          <w:szCs w:val="24"/>
          <w:rtl/>
        </w:rPr>
        <w:t xml:space="preserve"> </w:t>
      </w:r>
      <w:r>
        <w:rPr>
          <w:rFonts w:ascii="David" w:hAnsi="David" w:cs="David" w:hint="cs"/>
          <w:sz w:val="24"/>
          <w:szCs w:val="24"/>
          <w:rtl/>
        </w:rPr>
        <w:t xml:space="preserve">בשל מצבו הרפואי, </w:t>
      </w:r>
      <w:r w:rsidR="00C26613">
        <w:rPr>
          <w:rFonts w:ascii="David" w:hAnsi="David" w:cs="David"/>
          <w:sz w:val="24"/>
          <w:szCs w:val="24"/>
          <w:rtl/>
        </w:rPr>
        <w:t xml:space="preserve">לאחר </w:t>
      </w:r>
      <w:r>
        <w:rPr>
          <w:rFonts w:ascii="David" w:hAnsi="David" w:cs="David"/>
          <w:sz w:val="24"/>
          <w:szCs w:val="24"/>
          <w:rtl/>
        </w:rPr>
        <w:t>חמש שנות עבודה</w:t>
      </w:r>
      <w:r w:rsidR="00C26613">
        <w:rPr>
          <w:rFonts w:ascii="David" w:hAnsi="David" w:cs="David"/>
          <w:sz w:val="24"/>
          <w:szCs w:val="24"/>
          <w:rtl/>
        </w:rPr>
        <w:t xml:space="preserve">. בית המשפט </w:t>
      </w:r>
      <w:r>
        <w:rPr>
          <w:rFonts w:ascii="David" w:hAnsi="David" w:cs="David" w:hint="cs"/>
          <w:sz w:val="24"/>
          <w:szCs w:val="24"/>
          <w:rtl/>
        </w:rPr>
        <w:t xml:space="preserve">העליון </w:t>
      </w:r>
      <w:r w:rsidR="00C26613">
        <w:rPr>
          <w:rFonts w:ascii="David" w:hAnsi="David" w:cs="David"/>
          <w:sz w:val="24"/>
          <w:szCs w:val="24"/>
          <w:rtl/>
        </w:rPr>
        <w:t>קבע</w:t>
      </w:r>
      <w:r w:rsidR="00B02B6C">
        <w:rPr>
          <w:rFonts w:ascii="David" w:hAnsi="David" w:cs="David" w:hint="cs"/>
          <w:sz w:val="24"/>
          <w:szCs w:val="24"/>
          <w:rtl/>
        </w:rPr>
        <w:t>,</w:t>
      </w:r>
      <w:r w:rsidR="00C26613">
        <w:rPr>
          <w:rFonts w:ascii="David" w:hAnsi="David" w:cs="David"/>
          <w:sz w:val="24"/>
          <w:szCs w:val="24"/>
          <w:rtl/>
        </w:rPr>
        <w:t xml:space="preserve"> כי אין מדובר בפנסיה המשולמ</w:t>
      </w:r>
      <w:r>
        <w:rPr>
          <w:rFonts w:ascii="David" w:hAnsi="David" w:cs="David"/>
          <w:sz w:val="24"/>
          <w:szCs w:val="24"/>
          <w:rtl/>
        </w:rPr>
        <w:t>ת בשל נזקי גוף אלא בפנסיה רגילה</w:t>
      </w:r>
      <w:r>
        <w:rPr>
          <w:rFonts w:ascii="David" w:hAnsi="David" w:cs="David" w:hint="cs"/>
          <w:sz w:val="24"/>
          <w:szCs w:val="24"/>
          <w:rtl/>
        </w:rPr>
        <w:t xml:space="preserve">, </w:t>
      </w:r>
      <w:r>
        <w:rPr>
          <w:rFonts w:ascii="David" w:hAnsi="David" w:cs="David"/>
          <w:sz w:val="24"/>
          <w:szCs w:val="24"/>
          <w:rtl/>
        </w:rPr>
        <w:t>ולפיכך האשה זכאית למחצית</w:t>
      </w:r>
      <w:r>
        <w:rPr>
          <w:rFonts w:ascii="David" w:hAnsi="David" w:cs="David" w:hint="cs"/>
          <w:sz w:val="24"/>
          <w:szCs w:val="24"/>
          <w:rtl/>
        </w:rPr>
        <w:t>ה</w:t>
      </w:r>
      <w:r w:rsidR="00C26613">
        <w:rPr>
          <w:rFonts w:ascii="David" w:hAnsi="David" w:cs="David"/>
          <w:sz w:val="24"/>
          <w:szCs w:val="24"/>
          <w:rtl/>
        </w:rPr>
        <w:t>.</w:t>
      </w:r>
      <w:r>
        <w:rPr>
          <w:rFonts w:ascii="David" w:hAnsi="David" w:cs="David" w:hint="cs"/>
          <w:sz w:val="24"/>
          <w:szCs w:val="24"/>
          <w:rtl/>
        </w:rPr>
        <w:t xml:space="preserve"> אמנם הדברים נאמרו שם בשים לב לאמור בסע' 15 (2) לחוק שירות המדינה (גמלאות) [נוסח משולב], התש"ל-1970, </w:t>
      </w:r>
      <w:r>
        <w:rPr>
          <w:rFonts w:ascii="David" w:hAnsi="David" w:cs="David" w:hint="cs"/>
          <w:sz w:val="24"/>
          <w:szCs w:val="24"/>
          <w:rtl/>
        </w:rPr>
        <w:lastRenderedPageBreak/>
        <w:t xml:space="preserve">אולם בפסיקה מאוחרת של בית המשפט העליון (כב' השופט נ. הנדל), ב-בע"מ 3514/13 </w:t>
      </w:r>
      <w:r w:rsidRPr="00373521">
        <w:rPr>
          <w:rFonts w:ascii="David" w:hAnsi="David" w:cs="David" w:hint="cs"/>
          <w:b/>
          <w:bCs/>
          <w:sz w:val="24"/>
          <w:szCs w:val="24"/>
          <w:rtl/>
        </w:rPr>
        <w:t>פלוני נ' פלונית</w:t>
      </w:r>
      <w:r>
        <w:rPr>
          <w:rFonts w:ascii="David" w:hAnsi="David" w:cs="David" w:hint="cs"/>
          <w:sz w:val="24"/>
          <w:szCs w:val="24"/>
          <w:rtl/>
        </w:rPr>
        <w:t xml:space="preserve"> (18.12.2013) הובעה עמדה כללית לפיה: </w:t>
      </w:r>
    </w:p>
    <w:p w:rsidR="00373521" w:rsidRDefault="00373521" w:rsidP="00373521">
      <w:pPr>
        <w:pStyle w:val="ad"/>
        <w:spacing w:line="360" w:lineRule="auto"/>
        <w:ind w:left="1440"/>
        <w:jc w:val="both"/>
        <w:rPr>
          <w:rFonts w:ascii="David" w:hAnsi="David" w:cs="David"/>
          <w:b/>
          <w:bCs/>
          <w:sz w:val="24"/>
          <w:szCs w:val="24"/>
          <w:rtl/>
        </w:rPr>
      </w:pPr>
    </w:p>
    <w:p w:rsidR="00373521" w:rsidRDefault="00373521" w:rsidP="00373521">
      <w:pPr>
        <w:pStyle w:val="ad"/>
        <w:spacing w:line="360" w:lineRule="auto"/>
        <w:ind w:left="1440"/>
        <w:jc w:val="both"/>
        <w:rPr>
          <w:rFonts w:ascii="David" w:hAnsi="David" w:cs="David"/>
          <w:sz w:val="24"/>
          <w:szCs w:val="24"/>
          <w:rtl/>
        </w:rPr>
      </w:pPr>
      <w:r w:rsidRPr="00373521">
        <w:rPr>
          <w:rFonts w:ascii="David" w:hAnsi="David" w:cs="David" w:hint="cs"/>
          <w:b/>
          <w:bCs/>
          <w:sz w:val="24"/>
          <w:szCs w:val="24"/>
          <w:rtl/>
        </w:rPr>
        <w:t xml:space="preserve">"..ככל שהעניין נוגע לחלוקת נכסי בני זוג שנפרדו, ככלל לא יהיה זה נכון להבדיל בהחלת הדין בין פנסיה שמקבל אדם בהגיעו לגיל פרישה לבין הפנסיה שמקבל אדם בעת פרישה מוקדמת ועד גיל הפרישה מכוח החוק. לעצם הכללת הזכויות הפנסיוניות בחלוקה בהתאם לחוק ולשונו </w:t>
      </w:r>
      <w:r w:rsidRPr="00373521">
        <w:rPr>
          <w:rFonts w:ascii="David" w:hAnsi="David" w:cs="David"/>
          <w:b/>
          <w:bCs/>
          <w:sz w:val="24"/>
          <w:szCs w:val="24"/>
          <w:rtl/>
        </w:rPr>
        <w:t>–</w:t>
      </w:r>
      <w:r w:rsidRPr="00373521">
        <w:rPr>
          <w:rFonts w:ascii="David" w:hAnsi="David" w:cs="David" w:hint="cs"/>
          <w:b/>
          <w:bCs/>
          <w:sz w:val="24"/>
          <w:szCs w:val="24"/>
          <w:rtl/>
        </w:rPr>
        <w:t xml:space="preserve"> אם אומר פנסיה בגיל פרישה או אם אומר פנסיה בטרם פרישה עדיין אומר פנסיה..."</w:t>
      </w:r>
      <w:r>
        <w:rPr>
          <w:rFonts w:ascii="David" w:hAnsi="David" w:cs="David" w:hint="cs"/>
          <w:sz w:val="24"/>
          <w:szCs w:val="24"/>
          <w:rtl/>
        </w:rPr>
        <w:t xml:space="preserve"> (שם בעמ' 5) ובהמשך בעמ' 7: </w:t>
      </w:r>
      <w:r w:rsidRPr="00373521">
        <w:rPr>
          <w:rFonts w:ascii="David" w:hAnsi="David" w:cs="David" w:hint="cs"/>
          <w:b/>
          <w:bCs/>
          <w:sz w:val="24"/>
          <w:szCs w:val="24"/>
          <w:rtl/>
        </w:rPr>
        <w:t>"יש לראות בפנסיה המוקדמת כסוג של 'חסכון' שצמח ביחסי עבודה והינו בר איזון כפנסיה רגילה.."</w:t>
      </w:r>
      <w:r>
        <w:rPr>
          <w:rFonts w:ascii="David" w:hAnsi="David" w:cs="David" w:hint="cs"/>
          <w:sz w:val="24"/>
          <w:szCs w:val="24"/>
          <w:rtl/>
        </w:rPr>
        <w:t>.</w:t>
      </w:r>
    </w:p>
    <w:p w:rsidR="004465B6" w:rsidRDefault="004465B6" w:rsidP="004465B6">
      <w:pPr>
        <w:spacing w:line="360" w:lineRule="auto"/>
        <w:ind w:left="720"/>
        <w:jc w:val="both"/>
        <w:rPr>
          <w:rFonts w:ascii="David" w:hAnsi="David"/>
          <w:rtl/>
        </w:rPr>
      </w:pPr>
      <w:r>
        <w:rPr>
          <w:rFonts w:ascii="David" w:hAnsi="David" w:hint="cs"/>
          <w:rtl/>
        </w:rPr>
        <w:t xml:space="preserve">על עמדה זו חזר בית המשפט העליון </w:t>
      </w:r>
      <w:r w:rsidR="00373521">
        <w:rPr>
          <w:rFonts w:ascii="David" w:hAnsi="David" w:hint="cs"/>
          <w:rtl/>
        </w:rPr>
        <w:t xml:space="preserve">ב-בע"מ 4860/16 </w:t>
      </w:r>
      <w:r w:rsidR="00373521" w:rsidRPr="00373521">
        <w:rPr>
          <w:rFonts w:ascii="David" w:hAnsi="David" w:hint="cs"/>
          <w:b/>
          <w:bCs/>
          <w:rtl/>
        </w:rPr>
        <w:t>פלונית נ' פלוני</w:t>
      </w:r>
      <w:r w:rsidR="00373521">
        <w:rPr>
          <w:rFonts w:ascii="David" w:hAnsi="David" w:hint="cs"/>
          <w:rtl/>
        </w:rPr>
        <w:t xml:space="preserve"> </w:t>
      </w:r>
      <w:r w:rsidR="00373521">
        <w:rPr>
          <w:rFonts w:ascii="David" w:hAnsi="David"/>
        </w:rPr>
        <w:t>(05/09/2017)</w:t>
      </w:r>
      <w:r>
        <w:rPr>
          <w:rFonts w:ascii="David" w:hAnsi="David" w:hint="cs"/>
          <w:rtl/>
        </w:rPr>
        <w:t xml:space="preserve">. אמנם, עניינו של פסק הדין שניתן שם היה בפרשנותו של חוק לחלוקת חיסכון פנסיוני, כשהקביעה המרכזית שהתקבלה היתה, כי אין בהוראותיו של חוק זה </w:t>
      </w:r>
      <w:r w:rsidRPr="004465B6">
        <w:rPr>
          <w:rFonts w:ascii="David" w:hAnsi="David" w:hint="cs"/>
          <w:b/>
          <w:bCs/>
          <w:rtl/>
        </w:rPr>
        <w:t>"כדי לשנות מן האופן שבו איזנו עד כה בתי המשפט את הזכויות הפנסיוניות של בני זוג שנפרדו, והוא אינו מצמצם את שיקול דעתם הנרחב ביחס לקביעת הסדר איזון משאבים ומימוש השיתוף הזוגי"</w:t>
      </w:r>
      <w:r>
        <w:rPr>
          <w:rFonts w:ascii="David" w:hAnsi="David" w:hint="cs"/>
          <w:b/>
          <w:bCs/>
          <w:rtl/>
        </w:rPr>
        <w:t xml:space="preserve"> </w:t>
      </w:r>
      <w:r w:rsidRPr="004465B6">
        <w:rPr>
          <w:rFonts w:ascii="David" w:hAnsi="David" w:hint="cs"/>
          <w:rtl/>
        </w:rPr>
        <w:t>(פסקה נג לפסק הדין)</w:t>
      </w:r>
      <w:r>
        <w:rPr>
          <w:rFonts w:ascii="David" w:hAnsi="David" w:hint="cs"/>
          <w:b/>
          <w:bCs/>
          <w:rtl/>
        </w:rPr>
        <w:t>.</w:t>
      </w:r>
      <w:r>
        <w:rPr>
          <w:rFonts w:ascii="David" w:hAnsi="David" w:hint="cs"/>
          <w:rtl/>
        </w:rPr>
        <w:t xml:space="preserve"> לצד זאת בית המשפט העליון, כב' השופט א. רובינשטיין, ראה לעמוד תחילה על התמורות והתהפוכות שחלו בסוגית סיווג זכויות פנסיה ופרישה כנכסים בני חלוקה בהליכי גירושין בין בני-זוג, וציין בין היתר, כי:</w:t>
      </w:r>
    </w:p>
    <w:p w:rsidR="004465B6" w:rsidRDefault="004465B6" w:rsidP="004465B6">
      <w:pPr>
        <w:spacing w:line="360" w:lineRule="auto"/>
        <w:ind w:left="1440" w:firstLine="60"/>
        <w:jc w:val="both"/>
        <w:rPr>
          <w:rFonts w:ascii="David" w:hAnsi="David"/>
          <w:b/>
          <w:bCs/>
          <w:rtl/>
        </w:rPr>
      </w:pPr>
    </w:p>
    <w:p w:rsidR="00373521" w:rsidRPr="004465B6" w:rsidRDefault="004465B6" w:rsidP="004465B6">
      <w:pPr>
        <w:spacing w:line="360" w:lineRule="auto"/>
        <w:ind w:left="1440" w:firstLine="60"/>
        <w:jc w:val="both"/>
        <w:rPr>
          <w:rFonts w:ascii="David" w:hAnsi="David"/>
          <w:b/>
          <w:bCs/>
          <w:rtl/>
        </w:rPr>
      </w:pPr>
      <w:r w:rsidRPr="004465B6">
        <w:rPr>
          <w:rFonts w:ascii="David" w:hAnsi="David" w:hint="cs"/>
          <w:b/>
          <w:bCs/>
          <w:rtl/>
        </w:rPr>
        <w:t xml:space="preserve">"על דרך הכלל לא ראתה הפסיקה להבחין, לעניין איזון משאבי בני הזוג, בין קצבת פנסיה המשתלמת לחוסך במקרה של פרישה מוקמת (ראו גייפמן, בעמ' 134-133). ביחס לתשלומי הפנסיה נקבע לא אחת כי יש לראותם כהטבה סוציאלית המוענקת לבן הזוג החוסך כחלק מתנאי עבודתוולא כהיוון שכר העבודה עד לגיל הפרישה הסטטוטורי..." </w:t>
      </w:r>
      <w:r w:rsidRPr="004465B6">
        <w:rPr>
          <w:rFonts w:ascii="David" w:hAnsi="David" w:hint="cs"/>
          <w:rtl/>
        </w:rPr>
        <w:t>(פסקה נב</w:t>
      </w:r>
      <w:r>
        <w:rPr>
          <w:rFonts w:ascii="David" w:hAnsi="David" w:hint="cs"/>
          <w:rtl/>
        </w:rPr>
        <w:t>, עמ' 24</w:t>
      </w:r>
      <w:r w:rsidRPr="004465B6">
        <w:rPr>
          <w:rFonts w:ascii="David" w:hAnsi="David" w:hint="cs"/>
          <w:rtl/>
        </w:rPr>
        <w:t>)</w:t>
      </w:r>
      <w:r>
        <w:rPr>
          <w:rFonts w:ascii="David" w:hAnsi="David" w:hint="cs"/>
          <w:b/>
          <w:bCs/>
          <w:rtl/>
        </w:rPr>
        <w:t>.</w:t>
      </w:r>
    </w:p>
    <w:p w:rsidR="00373521" w:rsidRDefault="00373521" w:rsidP="00373521">
      <w:pPr>
        <w:pStyle w:val="ad"/>
        <w:spacing w:line="360" w:lineRule="auto"/>
        <w:ind w:left="1440"/>
        <w:jc w:val="both"/>
        <w:rPr>
          <w:rFonts w:ascii="David" w:hAnsi="David" w:cs="David"/>
          <w:sz w:val="24"/>
          <w:szCs w:val="24"/>
        </w:rPr>
      </w:pPr>
    </w:p>
    <w:p w:rsidR="004465B6" w:rsidRDefault="004465B6" w:rsidP="004465B6">
      <w:pPr>
        <w:pStyle w:val="ad"/>
        <w:numPr>
          <w:ilvl w:val="0"/>
          <w:numId w:val="1"/>
        </w:numPr>
        <w:spacing w:line="360" w:lineRule="auto"/>
        <w:jc w:val="both"/>
        <w:rPr>
          <w:rFonts w:ascii="David" w:hAnsi="David" w:cs="David"/>
          <w:sz w:val="24"/>
          <w:szCs w:val="24"/>
        </w:rPr>
      </w:pPr>
      <w:r>
        <w:rPr>
          <w:rFonts w:ascii="David" w:hAnsi="David" w:cs="David" w:hint="cs"/>
          <w:sz w:val="24"/>
          <w:szCs w:val="24"/>
          <w:rtl/>
        </w:rPr>
        <w:t>מכל מקום, ואף בהתעל</w:t>
      </w:r>
      <w:r w:rsidR="00B02B6C">
        <w:rPr>
          <w:rFonts w:ascii="David" w:hAnsi="David" w:cs="David" w:hint="cs"/>
          <w:sz w:val="24"/>
          <w:szCs w:val="24"/>
          <w:rtl/>
        </w:rPr>
        <w:t>ם מעמדת הפסיקה עליה עמדתי</w:t>
      </w:r>
      <w:r w:rsidR="00756E5C">
        <w:rPr>
          <w:rFonts w:ascii="David" w:hAnsi="David" w:cs="David" w:hint="cs"/>
          <w:sz w:val="24"/>
          <w:szCs w:val="24"/>
          <w:rtl/>
        </w:rPr>
        <w:t xml:space="preserve"> לעיל, </w:t>
      </w:r>
      <w:r>
        <w:rPr>
          <w:rFonts w:ascii="David" w:hAnsi="David" w:cs="David" w:hint="cs"/>
          <w:sz w:val="24"/>
          <w:szCs w:val="24"/>
          <w:rtl/>
        </w:rPr>
        <w:t>לא עלה בידי המערער להו</w:t>
      </w:r>
      <w:r w:rsidR="003D66EC">
        <w:rPr>
          <w:rFonts w:ascii="David" w:hAnsi="David" w:cs="David" w:hint="cs"/>
          <w:sz w:val="24"/>
          <w:szCs w:val="24"/>
          <w:rtl/>
        </w:rPr>
        <w:t>כיח כי הפנסיה המוקדמת</w:t>
      </w:r>
      <w:r>
        <w:rPr>
          <w:rFonts w:ascii="David" w:hAnsi="David" w:cs="David" w:hint="cs"/>
          <w:sz w:val="24"/>
          <w:szCs w:val="24"/>
          <w:rtl/>
        </w:rPr>
        <w:t xml:space="preserve"> הינה רפואית, והמערער לא  הציג כל ראיה משכנעת שהיה בה כדי לסתור את עמדת </w:t>
      </w:r>
      <w:r w:rsidR="001209B4">
        <w:rPr>
          <w:rFonts w:ascii="David" w:hAnsi="David" w:cs="David" w:hint="cs"/>
          <w:sz w:val="24"/>
          <w:szCs w:val="24"/>
          <w:rtl/>
        </w:rPr>
        <w:t>ח</w:t>
      </w:r>
      <w:r w:rsidR="001209B4">
        <w:rPr>
          <w:rFonts w:ascii="David" w:hAnsi="David" w:cs="David"/>
          <w:sz w:val="24"/>
          <w:szCs w:val="24"/>
          <w:rtl/>
        </w:rPr>
        <w:t>'</w:t>
      </w:r>
      <w:r w:rsidR="001209B4">
        <w:rPr>
          <w:rFonts w:ascii="David" w:hAnsi="David" w:cs="David" w:hint="cs"/>
          <w:sz w:val="24"/>
          <w:szCs w:val="24"/>
          <w:rtl/>
        </w:rPr>
        <w:t xml:space="preserve"> נ</w:t>
      </w:r>
      <w:r w:rsidR="001209B4">
        <w:rPr>
          <w:rFonts w:ascii="David" w:hAnsi="David" w:cs="David"/>
          <w:sz w:val="24"/>
          <w:szCs w:val="24"/>
          <w:rtl/>
        </w:rPr>
        <w:t>'</w:t>
      </w:r>
      <w:r>
        <w:rPr>
          <w:rFonts w:ascii="David" w:hAnsi="David" w:cs="David" w:hint="cs"/>
          <w:sz w:val="24"/>
          <w:szCs w:val="24"/>
          <w:rtl/>
        </w:rPr>
        <w:t xml:space="preserve"> והמידע שהתקבל ממנה.</w:t>
      </w:r>
      <w:r>
        <w:rPr>
          <w:rFonts w:ascii="David" w:hAnsi="David" w:cs="David"/>
          <w:sz w:val="24"/>
          <w:szCs w:val="24"/>
        </w:rPr>
        <w:t xml:space="preserve"> </w:t>
      </w:r>
      <w:r>
        <w:rPr>
          <w:rFonts w:ascii="David" w:hAnsi="David" w:cs="David" w:hint="cs"/>
          <w:sz w:val="24"/>
          <w:szCs w:val="24"/>
          <w:rtl/>
        </w:rPr>
        <w:t>כך גם לא עלה בידי המערער להוכיח כי נמנע ממנו להמשיך ולעבוד ב</w:t>
      </w:r>
      <w:r w:rsidR="001209B4">
        <w:rPr>
          <w:rFonts w:ascii="David" w:hAnsi="David" w:cs="David" w:hint="cs"/>
          <w:sz w:val="24"/>
          <w:szCs w:val="24"/>
          <w:rtl/>
        </w:rPr>
        <w:t>ח</w:t>
      </w:r>
      <w:r w:rsidR="001209B4">
        <w:rPr>
          <w:rFonts w:ascii="David" w:hAnsi="David" w:cs="David"/>
          <w:sz w:val="24"/>
          <w:szCs w:val="24"/>
          <w:rtl/>
        </w:rPr>
        <w:t>'</w:t>
      </w:r>
      <w:r w:rsidR="001209B4">
        <w:rPr>
          <w:rFonts w:ascii="David" w:hAnsi="David" w:cs="David" w:hint="cs"/>
          <w:sz w:val="24"/>
          <w:szCs w:val="24"/>
          <w:rtl/>
        </w:rPr>
        <w:t xml:space="preserve"> נ</w:t>
      </w:r>
      <w:r w:rsidR="001209B4">
        <w:rPr>
          <w:rFonts w:ascii="David" w:hAnsi="David" w:cs="David"/>
          <w:sz w:val="24"/>
          <w:szCs w:val="24"/>
          <w:rtl/>
        </w:rPr>
        <w:t>'</w:t>
      </w:r>
      <w:r>
        <w:rPr>
          <w:rFonts w:ascii="David" w:hAnsi="David" w:cs="David" w:hint="cs"/>
          <w:sz w:val="24"/>
          <w:szCs w:val="24"/>
          <w:rtl/>
        </w:rPr>
        <w:t xml:space="preserve">, וכי היה מעוניין בכך, ולא נפלה כל שגגה בקביעות בית משפט </w:t>
      </w:r>
      <w:r w:rsidR="003D66EC">
        <w:rPr>
          <w:rFonts w:ascii="David" w:hAnsi="David" w:cs="David" w:hint="cs"/>
          <w:sz w:val="24"/>
          <w:szCs w:val="24"/>
          <w:rtl/>
        </w:rPr>
        <w:t xml:space="preserve">קמא </w:t>
      </w:r>
      <w:r>
        <w:rPr>
          <w:rFonts w:ascii="David" w:hAnsi="David" w:cs="David" w:hint="cs"/>
          <w:sz w:val="24"/>
          <w:szCs w:val="24"/>
          <w:rtl/>
        </w:rPr>
        <w:t xml:space="preserve">ביחס לכל אלה. כך גם </w:t>
      </w:r>
      <w:r w:rsidR="003D66EC">
        <w:rPr>
          <w:rFonts w:ascii="David" w:hAnsi="David" w:cs="David" w:hint="cs"/>
          <w:sz w:val="24"/>
          <w:szCs w:val="24"/>
          <w:rtl/>
        </w:rPr>
        <w:t xml:space="preserve">לא נפלה כל שגגה בקביעתו </w:t>
      </w:r>
      <w:r>
        <w:rPr>
          <w:rFonts w:ascii="David" w:hAnsi="David" w:cs="David" w:hint="cs"/>
          <w:sz w:val="24"/>
          <w:szCs w:val="24"/>
          <w:rtl/>
        </w:rPr>
        <w:t xml:space="preserve">לפיה </w:t>
      </w:r>
      <w:r w:rsidR="00756E5C">
        <w:rPr>
          <w:rFonts w:ascii="David" w:hAnsi="David" w:cs="David" w:hint="cs"/>
          <w:sz w:val="24"/>
          <w:szCs w:val="24"/>
          <w:rtl/>
        </w:rPr>
        <w:t xml:space="preserve">סוגיה זו התבררה בעבר בגדרי תלה"מ 20640-12-19  בו ניתן פסק דינו מיום 22.10.2020, וכי משניתנה תשובת </w:t>
      </w:r>
      <w:r w:rsidR="001209B4">
        <w:rPr>
          <w:rFonts w:ascii="David" w:hAnsi="David" w:cs="David" w:hint="cs"/>
          <w:sz w:val="24"/>
          <w:szCs w:val="24"/>
          <w:rtl/>
        </w:rPr>
        <w:t>ח</w:t>
      </w:r>
      <w:r w:rsidR="001209B4">
        <w:rPr>
          <w:rFonts w:ascii="David" w:hAnsi="David" w:cs="David"/>
          <w:sz w:val="24"/>
          <w:szCs w:val="24"/>
          <w:rtl/>
        </w:rPr>
        <w:t>'</w:t>
      </w:r>
      <w:r w:rsidR="001209B4">
        <w:rPr>
          <w:rFonts w:ascii="David" w:hAnsi="David" w:cs="David" w:hint="cs"/>
          <w:sz w:val="24"/>
          <w:szCs w:val="24"/>
          <w:rtl/>
        </w:rPr>
        <w:t xml:space="preserve"> נ</w:t>
      </w:r>
      <w:r w:rsidR="001209B4">
        <w:rPr>
          <w:rFonts w:ascii="David" w:hAnsi="David" w:cs="David"/>
          <w:sz w:val="24"/>
          <w:szCs w:val="24"/>
          <w:rtl/>
        </w:rPr>
        <w:t>'</w:t>
      </w:r>
      <w:r w:rsidR="00756E5C">
        <w:rPr>
          <w:rFonts w:ascii="David" w:hAnsi="David" w:cs="David" w:hint="cs"/>
          <w:sz w:val="24"/>
          <w:szCs w:val="24"/>
          <w:rtl/>
        </w:rPr>
        <w:t>, אין לאפשר למערער להציב להכרעה שאלות אחרות החורגות מגדר המחלוקת.</w:t>
      </w:r>
    </w:p>
    <w:p w:rsidR="004465B6" w:rsidRPr="00756E5C" w:rsidRDefault="004465B6" w:rsidP="004465B6">
      <w:pPr>
        <w:pStyle w:val="ad"/>
        <w:spacing w:line="360" w:lineRule="auto"/>
        <w:jc w:val="both"/>
        <w:rPr>
          <w:rFonts w:ascii="David" w:hAnsi="David" w:cs="David"/>
          <w:sz w:val="24"/>
          <w:szCs w:val="24"/>
        </w:rPr>
      </w:pPr>
    </w:p>
    <w:p w:rsidR="003D66EC" w:rsidRPr="000068C6" w:rsidRDefault="004465B6" w:rsidP="008353BD">
      <w:pPr>
        <w:pStyle w:val="ad"/>
        <w:numPr>
          <w:ilvl w:val="0"/>
          <w:numId w:val="1"/>
        </w:numPr>
        <w:spacing w:line="360" w:lineRule="auto"/>
        <w:jc w:val="both"/>
        <w:rPr>
          <w:rFonts w:ascii="David" w:hAnsi="David" w:cs="David"/>
          <w:sz w:val="24"/>
          <w:szCs w:val="24"/>
          <w:rtl/>
        </w:rPr>
      </w:pPr>
      <w:r w:rsidRPr="000068C6">
        <w:rPr>
          <w:rFonts w:ascii="David" w:hAnsi="David" w:cs="David" w:hint="cs"/>
          <w:sz w:val="24"/>
          <w:szCs w:val="24"/>
          <w:rtl/>
        </w:rPr>
        <w:lastRenderedPageBreak/>
        <w:t xml:space="preserve">אשר לטענה השניה </w:t>
      </w:r>
      <w:r w:rsidR="00756E5C" w:rsidRPr="000068C6">
        <w:rPr>
          <w:rFonts w:ascii="David" w:hAnsi="David" w:cs="David" w:hint="cs"/>
          <w:sz w:val="24"/>
          <w:szCs w:val="24"/>
          <w:rtl/>
        </w:rPr>
        <w:t>שהעלה המערע</w:t>
      </w:r>
      <w:r w:rsidR="000068C6" w:rsidRPr="000068C6">
        <w:rPr>
          <w:rFonts w:ascii="David" w:hAnsi="David" w:cs="David" w:hint="cs"/>
          <w:sz w:val="24"/>
          <w:szCs w:val="24"/>
          <w:rtl/>
        </w:rPr>
        <w:t>ר</w:t>
      </w:r>
      <w:r w:rsidR="00B02B6C">
        <w:rPr>
          <w:rFonts w:ascii="David" w:hAnsi="David" w:cs="David" w:hint="cs"/>
          <w:sz w:val="24"/>
          <w:szCs w:val="24"/>
          <w:rtl/>
        </w:rPr>
        <w:t xml:space="preserve"> לפני בית משפט קמא, מקובלת עלי </w:t>
      </w:r>
      <w:r w:rsidR="00756E5C" w:rsidRPr="000068C6">
        <w:rPr>
          <w:rFonts w:ascii="David" w:hAnsi="David" w:cs="David" w:hint="cs"/>
          <w:sz w:val="24"/>
          <w:szCs w:val="24"/>
          <w:rtl/>
        </w:rPr>
        <w:t>קביעתו של בית משפט קמא כי</w:t>
      </w:r>
      <w:r w:rsidR="00C26613" w:rsidRPr="000068C6">
        <w:rPr>
          <w:rFonts w:ascii="David" w:hAnsi="David" w:cs="David"/>
          <w:sz w:val="24"/>
          <w:szCs w:val="24"/>
          <w:rtl/>
        </w:rPr>
        <w:t xml:space="preserve"> </w:t>
      </w:r>
      <w:r w:rsidR="003D66EC" w:rsidRPr="000068C6">
        <w:rPr>
          <w:rFonts w:ascii="David" w:hAnsi="David" w:cs="David" w:hint="cs"/>
          <w:sz w:val="24"/>
          <w:szCs w:val="24"/>
          <w:rtl/>
        </w:rPr>
        <w:t xml:space="preserve">לשונו של </w:t>
      </w:r>
      <w:r w:rsidR="00756E5C" w:rsidRPr="000068C6">
        <w:rPr>
          <w:rFonts w:ascii="David" w:hAnsi="David" w:cs="David" w:hint="cs"/>
          <w:sz w:val="24"/>
          <w:szCs w:val="24"/>
          <w:rtl/>
        </w:rPr>
        <w:t>הסכם הגירושין</w:t>
      </w:r>
      <w:r w:rsidR="003D66EC" w:rsidRPr="000068C6">
        <w:rPr>
          <w:rFonts w:ascii="David" w:hAnsi="David" w:cs="David" w:hint="cs"/>
          <w:sz w:val="24"/>
          <w:szCs w:val="24"/>
          <w:rtl/>
        </w:rPr>
        <w:t xml:space="preserve"> פשוטה, והוא קובע כי</w:t>
      </w:r>
      <w:r w:rsidR="00C26613" w:rsidRPr="000068C6">
        <w:rPr>
          <w:rFonts w:ascii="David" w:hAnsi="David" w:cs="David"/>
          <w:sz w:val="24"/>
          <w:szCs w:val="24"/>
          <w:rtl/>
        </w:rPr>
        <w:t xml:space="preserve"> המשיבה</w:t>
      </w:r>
      <w:r w:rsidR="00756E5C" w:rsidRPr="000068C6">
        <w:rPr>
          <w:rFonts w:ascii="David" w:hAnsi="David" w:cs="David"/>
          <w:sz w:val="24"/>
          <w:szCs w:val="24"/>
          <w:rtl/>
        </w:rPr>
        <w:t xml:space="preserve"> תתחיל לקבל חלק מהפנסיה של ה</w:t>
      </w:r>
      <w:r w:rsidR="00756E5C" w:rsidRPr="000068C6">
        <w:rPr>
          <w:rFonts w:ascii="David" w:hAnsi="David" w:cs="David" w:hint="cs"/>
          <w:sz w:val="24"/>
          <w:szCs w:val="24"/>
          <w:rtl/>
        </w:rPr>
        <w:t>מערער</w:t>
      </w:r>
      <w:r w:rsidR="00756E5C" w:rsidRPr="000068C6">
        <w:rPr>
          <w:rFonts w:ascii="David" w:hAnsi="David" w:cs="David"/>
          <w:sz w:val="24"/>
          <w:szCs w:val="24"/>
          <w:rtl/>
        </w:rPr>
        <w:t xml:space="preserve"> מהמועד בו</w:t>
      </w:r>
      <w:r w:rsidR="00756E5C" w:rsidRPr="000068C6">
        <w:rPr>
          <w:rFonts w:ascii="David" w:hAnsi="David" w:cs="David" w:hint="cs"/>
          <w:sz w:val="24"/>
          <w:szCs w:val="24"/>
          <w:rtl/>
        </w:rPr>
        <w:t xml:space="preserve"> </w:t>
      </w:r>
      <w:r w:rsidR="00756E5C" w:rsidRPr="000068C6">
        <w:rPr>
          <w:rFonts w:ascii="David" w:hAnsi="David" w:cs="David"/>
          <w:sz w:val="24"/>
          <w:szCs w:val="24"/>
          <w:rtl/>
        </w:rPr>
        <w:t>יפרוש לגמלאות</w:t>
      </w:r>
      <w:r w:rsidR="003D66EC" w:rsidRPr="000068C6">
        <w:rPr>
          <w:rFonts w:ascii="David" w:hAnsi="David" w:cs="David" w:hint="cs"/>
          <w:sz w:val="24"/>
          <w:szCs w:val="24"/>
          <w:rtl/>
        </w:rPr>
        <w:t>, לרבות פרישה מוקדמת. האבחנה שהמערער מנסה לקרוא אל תוך ההסכם בין "פרישה מעבודה" המזכה בסכום חד פעמי בהתאם לסע 1 (ב) לבין "פרישת הבעל לגמלאות" המזכה את האשה בחלק מהגמלה בהתאם לסע' 1 (ג) הינה מלאכותית, ו</w:t>
      </w:r>
      <w:r w:rsidR="00B02B6C">
        <w:rPr>
          <w:rFonts w:ascii="David" w:hAnsi="David" w:cs="David" w:hint="cs"/>
          <w:sz w:val="24"/>
          <w:szCs w:val="24"/>
          <w:rtl/>
        </w:rPr>
        <w:t>אין בידי</w:t>
      </w:r>
      <w:r w:rsidR="000068C6" w:rsidRPr="000068C6">
        <w:rPr>
          <w:rFonts w:ascii="David" w:hAnsi="David" w:cs="David" w:hint="cs"/>
          <w:sz w:val="24"/>
          <w:szCs w:val="24"/>
          <w:rtl/>
        </w:rPr>
        <w:t xml:space="preserve"> </w:t>
      </w:r>
      <w:r w:rsidR="003D66EC" w:rsidRPr="000068C6">
        <w:rPr>
          <w:rFonts w:ascii="David" w:hAnsi="David" w:cs="David" w:hint="cs"/>
          <w:sz w:val="24"/>
          <w:szCs w:val="24"/>
          <w:rtl/>
        </w:rPr>
        <w:t xml:space="preserve">לקבל פרשנותו בהקשר זה. לשון ההסכם פשוטה וברורה </w:t>
      </w:r>
      <w:r w:rsidR="003D66EC" w:rsidRPr="000068C6">
        <w:rPr>
          <w:rFonts w:ascii="David" w:hAnsi="David" w:cs="David"/>
          <w:sz w:val="24"/>
          <w:szCs w:val="24"/>
          <w:rtl/>
        </w:rPr>
        <w:t>–</w:t>
      </w:r>
      <w:r w:rsidR="003D66EC" w:rsidRPr="000068C6">
        <w:rPr>
          <w:rFonts w:ascii="David" w:hAnsi="David" w:cs="David" w:hint="cs"/>
          <w:sz w:val="24"/>
          <w:szCs w:val="24"/>
          <w:rtl/>
        </w:rPr>
        <w:t xml:space="preserve"> פרישה מהעבודה, תהא הסיבה לכך אשר תהא, תזכה את האשה בתשלום חד פעמי, ופרישה לגמלאות, בין אם מוקדמת ובין אם בגיל 67, תזכה אותה גם בחלק מהגמלה-הפנסיה. </w:t>
      </w:r>
    </w:p>
    <w:p w:rsidR="003D66EC" w:rsidRDefault="003D66EC" w:rsidP="003D66EC">
      <w:pPr>
        <w:spacing w:line="360" w:lineRule="auto"/>
        <w:ind w:left="720"/>
        <w:jc w:val="both"/>
        <w:rPr>
          <w:rFonts w:ascii="David" w:hAnsi="David"/>
          <w:rtl/>
        </w:rPr>
      </w:pPr>
      <w:r>
        <w:rPr>
          <w:rFonts w:ascii="David" w:hAnsi="David" w:hint="cs"/>
          <w:rtl/>
        </w:rPr>
        <w:t xml:space="preserve">על כך יש להוסיף כי טענות המערער בהודעת הערעור חורגות בחלקן מאלה שהעלה לפני בית משפט קמא, ודי בהקשר זה כדי להפנות לכתב </w:t>
      </w:r>
      <w:r w:rsidRPr="000068C6">
        <w:rPr>
          <w:rFonts w:ascii="David" w:hAnsi="David" w:hint="cs"/>
          <w:b/>
          <w:bCs/>
          <w:rtl/>
        </w:rPr>
        <w:t xml:space="preserve">הסיכומים </w:t>
      </w:r>
      <w:r>
        <w:rPr>
          <w:rFonts w:ascii="David" w:hAnsi="David" w:hint="cs"/>
          <w:rtl/>
        </w:rPr>
        <w:t>שהגי</w:t>
      </w:r>
      <w:r w:rsidR="000068C6">
        <w:rPr>
          <w:rFonts w:ascii="David" w:hAnsi="David" w:hint="cs"/>
          <w:rtl/>
        </w:rPr>
        <w:t>ש ביום 05.07.2022</w:t>
      </w:r>
      <w:r>
        <w:rPr>
          <w:rFonts w:ascii="David" w:hAnsi="David" w:hint="cs"/>
          <w:rtl/>
        </w:rPr>
        <w:t>, בו העלה הטענות הבאות:</w:t>
      </w:r>
    </w:p>
    <w:p w:rsidR="003D66EC" w:rsidRDefault="003D66EC" w:rsidP="003D66EC">
      <w:pPr>
        <w:pStyle w:val="ad"/>
        <w:numPr>
          <w:ilvl w:val="0"/>
          <w:numId w:val="9"/>
        </w:numPr>
        <w:spacing w:line="360" w:lineRule="auto"/>
        <w:jc w:val="both"/>
        <w:rPr>
          <w:rFonts w:ascii="David" w:hAnsi="David" w:cs="David"/>
        </w:rPr>
      </w:pPr>
      <w:r w:rsidRPr="003D66EC">
        <w:rPr>
          <w:rFonts w:ascii="David" w:hAnsi="David" w:cs="David"/>
          <w:rtl/>
        </w:rPr>
        <w:t xml:space="preserve">פרישתו המוקדמת של האיש היתה שלא </w:t>
      </w:r>
      <w:r>
        <w:rPr>
          <w:rFonts w:ascii="David" w:hAnsi="David" w:cs="David"/>
          <w:rtl/>
        </w:rPr>
        <w:t>מרצונו, בשל מצבו הבריאותי הלקוי</w:t>
      </w:r>
      <w:r>
        <w:rPr>
          <w:rFonts w:ascii="David" w:hAnsi="David" w:cs="David" w:hint="cs"/>
          <w:rtl/>
        </w:rPr>
        <w:t>;</w:t>
      </w:r>
    </w:p>
    <w:p w:rsidR="003D66EC" w:rsidRDefault="003D66EC" w:rsidP="003D66EC">
      <w:pPr>
        <w:pStyle w:val="ad"/>
        <w:numPr>
          <w:ilvl w:val="0"/>
          <w:numId w:val="9"/>
        </w:numPr>
        <w:spacing w:line="360" w:lineRule="auto"/>
        <w:jc w:val="both"/>
        <w:rPr>
          <w:rFonts w:ascii="David" w:hAnsi="David" w:cs="David"/>
        </w:rPr>
      </w:pPr>
      <w:r>
        <w:rPr>
          <w:rFonts w:ascii="David" w:hAnsi="David" w:cs="David" w:hint="cs"/>
          <w:rtl/>
        </w:rPr>
        <w:t>התקיימו נסיבות מיוחדות שיש להביא בחשבון במקרה שלפנינו ובעיקר "הפרישה המוקדמת של החוסך בשל מצב בריאותי לקוי". נטען, כי אין בהסכם התייחסות מילולית לפנסיה מוקדמת או לקצבה מהמעביד;</w:t>
      </w:r>
    </w:p>
    <w:p w:rsidR="003D66EC" w:rsidRDefault="003D66EC" w:rsidP="003D66EC">
      <w:pPr>
        <w:pStyle w:val="ad"/>
        <w:numPr>
          <w:ilvl w:val="0"/>
          <w:numId w:val="9"/>
        </w:numPr>
        <w:spacing w:line="360" w:lineRule="auto"/>
        <w:jc w:val="both"/>
        <w:rPr>
          <w:rFonts w:ascii="David" w:hAnsi="David" w:cs="David"/>
        </w:rPr>
      </w:pPr>
      <w:r>
        <w:rPr>
          <w:rFonts w:ascii="David" w:hAnsi="David" w:cs="David" w:hint="cs"/>
          <w:rtl/>
        </w:rPr>
        <w:t>קיזוז בין הגמלאות של הצדדים ועשית שימוש בסע' 8 (2) לחוק יחסי ממון בין בני זוג.</w:t>
      </w:r>
    </w:p>
    <w:p w:rsidR="00756E5C" w:rsidRPr="003D66EC" w:rsidRDefault="00756E5C" w:rsidP="00756E5C">
      <w:pPr>
        <w:pStyle w:val="ad"/>
        <w:rPr>
          <w:rFonts w:ascii="David" w:hAnsi="David" w:cs="David"/>
          <w:sz w:val="24"/>
          <w:szCs w:val="24"/>
          <w:rtl/>
        </w:rPr>
      </w:pPr>
    </w:p>
    <w:p w:rsidR="000068C6" w:rsidRDefault="000068C6" w:rsidP="000068C6">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מכאן יש לדחות טענות המערער בערעורו החורגות מהטענות בסיכומיו לפני בית משפט קמא, לפיהן אין בהסכם כל אזכור של קצבה בגין פרישה מהעבודה וכי הקצבה המשולמת כיום למערער, אינה זכות שנצברה בתקופת הנישואין. כך גם יש לדחות הטענה כי בהתאם להסכם </w:t>
      </w:r>
      <w:r>
        <w:rPr>
          <w:rFonts w:ascii="David" w:hAnsi="David" w:cs="David"/>
          <w:sz w:val="24"/>
          <w:szCs w:val="24"/>
          <w:rtl/>
        </w:rPr>
        <w:t>–</w:t>
      </w:r>
      <w:r>
        <w:rPr>
          <w:rFonts w:ascii="David" w:hAnsi="David" w:cs="David" w:hint="cs"/>
          <w:sz w:val="24"/>
          <w:szCs w:val="24"/>
          <w:rtl/>
        </w:rPr>
        <w:t xml:space="preserve"> סע' 2 (ג), הקיצבה אינה ברת איזון. לצד זאת, ועל מנת להפיס דעתו של המערער, </w:t>
      </w:r>
      <w:r w:rsidR="00B02B6C">
        <w:rPr>
          <w:rFonts w:ascii="David" w:hAnsi="David" w:cs="David" w:hint="cs"/>
          <w:sz w:val="24"/>
          <w:szCs w:val="24"/>
          <w:rtl/>
        </w:rPr>
        <w:t xml:space="preserve">אציין כי </w:t>
      </w:r>
      <w:r>
        <w:rPr>
          <w:rFonts w:ascii="David" w:hAnsi="David" w:cs="David" w:hint="cs"/>
          <w:sz w:val="24"/>
          <w:szCs w:val="24"/>
          <w:rtl/>
        </w:rPr>
        <w:t>דינן של אלה היה דחיה לגופן</w:t>
      </w:r>
      <w:r w:rsidR="00422AE5">
        <w:rPr>
          <w:rFonts w:ascii="David" w:hAnsi="David" w:cs="David" w:hint="cs"/>
          <w:sz w:val="24"/>
          <w:szCs w:val="24"/>
          <w:rtl/>
        </w:rPr>
        <w:t>:</w:t>
      </w:r>
    </w:p>
    <w:p w:rsidR="00422AE5" w:rsidRPr="00B02B6C" w:rsidRDefault="00422AE5" w:rsidP="00422AE5">
      <w:pPr>
        <w:pStyle w:val="ad"/>
        <w:spacing w:line="360" w:lineRule="auto"/>
        <w:jc w:val="both"/>
        <w:rPr>
          <w:rFonts w:ascii="David" w:hAnsi="David" w:cs="David"/>
          <w:sz w:val="24"/>
          <w:szCs w:val="24"/>
        </w:rPr>
      </w:pPr>
    </w:p>
    <w:p w:rsidR="00422AE5" w:rsidRDefault="00422AE5" w:rsidP="00422AE5">
      <w:pPr>
        <w:pStyle w:val="ad"/>
        <w:spacing w:line="360" w:lineRule="auto"/>
        <w:jc w:val="both"/>
        <w:rPr>
          <w:rFonts w:ascii="David" w:hAnsi="David" w:cs="David"/>
          <w:sz w:val="24"/>
          <w:szCs w:val="24"/>
          <w:rtl/>
        </w:rPr>
      </w:pPr>
      <w:r>
        <w:rPr>
          <w:rFonts w:ascii="David" w:hAnsi="David" w:cs="David" w:hint="cs"/>
          <w:sz w:val="24"/>
          <w:szCs w:val="24"/>
          <w:rtl/>
        </w:rPr>
        <w:t>ראשית, אין ממש בטענה לפיה הקצבה המשולמת למערער לא נצברה, בחלק</w:t>
      </w:r>
      <w:r w:rsidR="00B02B6C">
        <w:rPr>
          <w:rFonts w:ascii="David" w:hAnsi="David" w:cs="David" w:hint="cs"/>
          <w:sz w:val="24"/>
          <w:szCs w:val="24"/>
          <w:rtl/>
        </w:rPr>
        <w:t>ה, בתקופת הנישואין. אין חולק, וא</w:t>
      </w:r>
      <w:r>
        <w:rPr>
          <w:rFonts w:ascii="David" w:hAnsi="David" w:cs="David" w:hint="cs"/>
          <w:sz w:val="24"/>
          <w:szCs w:val="24"/>
          <w:rtl/>
        </w:rPr>
        <w:t xml:space="preserve">פנה בעניין זה גם לפסיקתא מוצעת מטעם מומחה בית משפט, רו"ח נתן שטרנפלד, ולחוות דעתו מיום 19.09.2022, </w:t>
      </w:r>
      <w:r w:rsidR="00B02B6C">
        <w:rPr>
          <w:rFonts w:ascii="David" w:hAnsi="David" w:cs="David" w:hint="cs"/>
          <w:sz w:val="24"/>
          <w:szCs w:val="24"/>
          <w:rtl/>
        </w:rPr>
        <w:t xml:space="preserve">לפיהן </w:t>
      </w:r>
      <w:r>
        <w:rPr>
          <w:rFonts w:ascii="David" w:hAnsi="David" w:cs="David" w:hint="cs"/>
          <w:sz w:val="24"/>
          <w:szCs w:val="24"/>
          <w:rtl/>
        </w:rPr>
        <w:t>מועד התחלה של צבירת זכויות המערער לותק הינו מחודש 10/1984, מועד הנישואין הוא 18.11.1984, מועד הפירוד הינו 31.10.2003 ומועד הפרישה הוא כזכור 29.02.20</w:t>
      </w:r>
      <w:r w:rsidR="00B02B6C">
        <w:rPr>
          <w:rFonts w:ascii="David" w:hAnsi="David" w:cs="David" w:hint="cs"/>
          <w:sz w:val="24"/>
          <w:szCs w:val="24"/>
          <w:rtl/>
        </w:rPr>
        <w:t>20, כך שמשך התקופה המשותפת הינו</w:t>
      </w:r>
      <w:r>
        <w:rPr>
          <w:rFonts w:ascii="David" w:hAnsi="David" w:cs="David" w:hint="cs"/>
          <w:sz w:val="24"/>
          <w:szCs w:val="24"/>
          <w:rtl/>
        </w:rPr>
        <w:t xml:space="preserve"> 228 חודשים ועל כן השיעור להעברה למשיבה הינו 28.81%;</w:t>
      </w:r>
    </w:p>
    <w:p w:rsidR="00422AE5" w:rsidRDefault="00422AE5" w:rsidP="00422AE5">
      <w:pPr>
        <w:pStyle w:val="ad"/>
        <w:spacing w:line="360" w:lineRule="auto"/>
        <w:jc w:val="both"/>
        <w:rPr>
          <w:rFonts w:ascii="David" w:hAnsi="David" w:cs="David"/>
          <w:sz w:val="24"/>
          <w:szCs w:val="24"/>
          <w:rtl/>
        </w:rPr>
      </w:pPr>
      <w:r>
        <w:rPr>
          <w:rFonts w:ascii="David" w:hAnsi="David" w:cs="David" w:hint="cs"/>
          <w:sz w:val="24"/>
          <w:szCs w:val="24"/>
          <w:rtl/>
        </w:rPr>
        <w:t xml:space="preserve">שנית, המערער </w:t>
      </w:r>
      <w:r w:rsidR="00173435">
        <w:rPr>
          <w:rFonts w:ascii="David" w:hAnsi="David" w:cs="David" w:hint="cs"/>
          <w:sz w:val="24"/>
          <w:szCs w:val="24"/>
          <w:rtl/>
        </w:rPr>
        <w:t xml:space="preserve">לא הציג כל ראיה או אסמכתא לפיה </w:t>
      </w:r>
      <w:r>
        <w:rPr>
          <w:rFonts w:ascii="David" w:hAnsi="David" w:cs="David" w:hint="cs"/>
          <w:sz w:val="24"/>
          <w:szCs w:val="24"/>
          <w:rtl/>
        </w:rPr>
        <w:t>הקצבה המשו</w:t>
      </w:r>
      <w:r w:rsidR="00173435">
        <w:rPr>
          <w:rFonts w:ascii="David" w:hAnsi="David" w:cs="David" w:hint="cs"/>
          <w:sz w:val="24"/>
          <w:szCs w:val="24"/>
          <w:rtl/>
        </w:rPr>
        <w:t xml:space="preserve">למת לו מקורה, כולה, בתקופה אחרת </w:t>
      </w:r>
      <w:r w:rsidR="00173435" w:rsidRPr="005117E0">
        <w:rPr>
          <w:rFonts w:ascii="David" w:hAnsi="David" w:cs="David" w:hint="cs"/>
          <w:sz w:val="24"/>
          <w:szCs w:val="24"/>
          <w:rtl/>
        </w:rPr>
        <w:t>וכי היה זכאי לפנסיה מוקדמת ובאותו סכום גם אם היה עובד רק ממועד הפירוד ב-2003 ועד מועד הפרישה ב-2020;</w:t>
      </w:r>
    </w:p>
    <w:p w:rsidR="00422AE5" w:rsidRPr="00422AE5" w:rsidRDefault="00422AE5" w:rsidP="00422AE5">
      <w:pPr>
        <w:pStyle w:val="ad"/>
        <w:spacing w:line="360" w:lineRule="auto"/>
        <w:jc w:val="both"/>
        <w:rPr>
          <w:rFonts w:ascii="David" w:hAnsi="David" w:cs="David"/>
          <w:b/>
          <w:bCs/>
          <w:sz w:val="24"/>
          <w:szCs w:val="24"/>
        </w:rPr>
      </w:pPr>
      <w:r>
        <w:rPr>
          <w:rFonts w:ascii="David" w:hAnsi="David" w:cs="David" w:hint="cs"/>
          <w:sz w:val="24"/>
          <w:szCs w:val="24"/>
          <w:rtl/>
        </w:rPr>
        <w:lastRenderedPageBreak/>
        <w:t xml:space="preserve">שלישית, הטענה כי הקיצבה אינה ברת איזון, משלא הוזכרה במפורש, לא בסע' 2 (א) ולא בסע' 2 (ג) מתעלמת מן האמור בסע' 2 (ב) הפותח במילים אלה: </w:t>
      </w:r>
      <w:r w:rsidRPr="00422AE5">
        <w:rPr>
          <w:rFonts w:ascii="David" w:hAnsi="David" w:cs="David" w:hint="cs"/>
          <w:b/>
          <w:bCs/>
          <w:sz w:val="24"/>
          <w:szCs w:val="24"/>
          <w:rtl/>
        </w:rPr>
        <w:t>"מחצית מכלל זכויותיו של מר ....מסוג כלשהוא, כולל כספים...."</w:t>
      </w:r>
      <w:r>
        <w:rPr>
          <w:rFonts w:ascii="David" w:hAnsi="David" w:cs="David" w:hint="cs"/>
          <w:b/>
          <w:bCs/>
          <w:sz w:val="24"/>
          <w:szCs w:val="24"/>
          <w:rtl/>
        </w:rPr>
        <w:t>.</w:t>
      </w:r>
    </w:p>
    <w:p w:rsidR="000068C6" w:rsidRPr="00B02B6C" w:rsidRDefault="000068C6" w:rsidP="00756E5C">
      <w:pPr>
        <w:spacing w:line="360" w:lineRule="auto"/>
        <w:jc w:val="both"/>
        <w:rPr>
          <w:rFonts w:ascii="David" w:hAnsi="David"/>
        </w:rPr>
      </w:pPr>
    </w:p>
    <w:p w:rsidR="00C26613" w:rsidRPr="00422AE5" w:rsidRDefault="00422AE5" w:rsidP="00422AE5">
      <w:pPr>
        <w:pStyle w:val="ad"/>
        <w:numPr>
          <w:ilvl w:val="0"/>
          <w:numId w:val="1"/>
        </w:numPr>
        <w:spacing w:after="0" w:line="360" w:lineRule="auto"/>
        <w:jc w:val="both"/>
        <w:rPr>
          <w:rFonts w:ascii="David" w:eastAsia="Times New Roman" w:hAnsi="David" w:cs="David"/>
          <w:sz w:val="24"/>
          <w:szCs w:val="24"/>
        </w:rPr>
      </w:pPr>
      <w:r w:rsidRPr="00422AE5">
        <w:rPr>
          <w:rFonts w:ascii="David" w:hAnsi="David" w:cs="David"/>
          <w:sz w:val="24"/>
          <w:szCs w:val="24"/>
          <w:rtl/>
        </w:rPr>
        <w:t>אשר</w:t>
      </w:r>
      <w:r w:rsidRPr="00422AE5">
        <w:rPr>
          <w:rFonts w:hint="cs"/>
          <w:sz w:val="24"/>
          <w:szCs w:val="24"/>
          <w:rtl/>
        </w:rPr>
        <w:t xml:space="preserve"> </w:t>
      </w:r>
      <w:r w:rsidRPr="00422AE5">
        <w:rPr>
          <w:rFonts w:ascii="David" w:hAnsi="David" w:cs="David"/>
          <w:sz w:val="24"/>
          <w:szCs w:val="24"/>
          <w:rtl/>
        </w:rPr>
        <w:t>לטענת המערער</w:t>
      </w:r>
      <w:r w:rsidR="00B02B6C">
        <w:rPr>
          <w:rFonts w:ascii="David" w:hAnsi="David" w:cs="David" w:hint="cs"/>
          <w:sz w:val="24"/>
          <w:szCs w:val="24"/>
          <w:rtl/>
        </w:rPr>
        <w:t>,</w:t>
      </w:r>
      <w:r w:rsidRPr="00422AE5">
        <w:rPr>
          <w:rFonts w:ascii="David" w:hAnsi="David" w:cs="David"/>
          <w:sz w:val="24"/>
          <w:szCs w:val="24"/>
          <w:rtl/>
        </w:rPr>
        <w:t xml:space="preserve"> כי יש לפנות להוראת סע' 8 (2) לחוק יחסי ממון ולערוך איזון שלא באופן הרגיל או לדחות תשלומה, לכך ניתן מענה הולם וממצה בגדרי פסק הדין קמא</w:t>
      </w:r>
      <w:r w:rsidRPr="00422AE5">
        <w:rPr>
          <w:rFonts w:ascii="David" w:hAnsi="David" w:cs="David"/>
          <w:rtl/>
        </w:rPr>
        <w:t>.</w:t>
      </w:r>
      <w:r w:rsidR="00B02B6C">
        <w:rPr>
          <w:rFonts w:ascii="David" w:eastAsia="Times New Roman" w:hAnsi="David" w:cs="David" w:hint="cs"/>
          <w:sz w:val="24"/>
          <w:szCs w:val="24"/>
          <w:rtl/>
        </w:rPr>
        <w:t xml:space="preserve"> למעלה מן הנדרש, א</w:t>
      </w:r>
      <w:r>
        <w:rPr>
          <w:rFonts w:ascii="David" w:eastAsia="Times New Roman" w:hAnsi="David" w:cs="David" w:hint="cs"/>
          <w:sz w:val="24"/>
          <w:szCs w:val="24"/>
          <w:rtl/>
        </w:rPr>
        <w:t xml:space="preserve">ציין כי </w:t>
      </w:r>
      <w:r w:rsidR="00C26613" w:rsidRPr="00422AE5">
        <w:rPr>
          <w:rFonts w:ascii="David" w:eastAsia="Calibri" w:hAnsi="David" w:cs="David"/>
          <w:spacing w:val="10"/>
          <w:sz w:val="24"/>
          <w:szCs w:val="24"/>
          <w:rtl/>
        </w:rPr>
        <w:t xml:space="preserve">בעת חקיקת </w:t>
      </w:r>
      <w:hyperlink r:id="rId8" w:history="1">
        <w:r w:rsidR="00C26613" w:rsidRPr="00422AE5">
          <w:rPr>
            <w:rStyle w:val="Hyperlink"/>
            <w:rFonts w:ascii="David" w:eastAsia="Calibri" w:hAnsi="David" w:cs="David"/>
            <w:color w:val="auto"/>
            <w:spacing w:val="10"/>
            <w:sz w:val="24"/>
            <w:szCs w:val="24"/>
            <w:u w:val="none"/>
            <w:rtl/>
          </w:rPr>
          <w:t>סעיף 8(2)</w:t>
        </w:r>
      </w:hyperlink>
      <w:r w:rsidR="00C26613" w:rsidRPr="00422AE5">
        <w:rPr>
          <w:rFonts w:ascii="David" w:eastAsia="Calibri" w:hAnsi="David" w:cs="David"/>
          <w:spacing w:val="10"/>
          <w:sz w:val="24"/>
          <w:szCs w:val="24"/>
          <w:rtl/>
        </w:rPr>
        <w:t xml:space="preserve"> ל</w:t>
      </w:r>
      <w:hyperlink r:id="rId9" w:history="1">
        <w:r w:rsidR="00C26613" w:rsidRPr="00422AE5">
          <w:rPr>
            <w:rStyle w:val="Hyperlink"/>
            <w:rFonts w:ascii="David" w:eastAsia="Calibri" w:hAnsi="David" w:cs="David"/>
            <w:color w:val="auto"/>
            <w:spacing w:val="10"/>
            <w:sz w:val="24"/>
            <w:szCs w:val="24"/>
            <w:u w:val="none"/>
            <w:rtl/>
          </w:rPr>
          <w:t>חוק יחסי ממון</w:t>
        </w:r>
      </w:hyperlink>
      <w:r w:rsidR="00C26613" w:rsidRPr="00422AE5">
        <w:rPr>
          <w:rFonts w:ascii="David" w:eastAsia="Calibri" w:hAnsi="David" w:cs="David"/>
          <w:spacing w:val="10"/>
          <w:sz w:val="24"/>
          <w:szCs w:val="24"/>
          <w:rtl/>
        </w:rPr>
        <w:t xml:space="preserve"> הסמיך המחוקק את בתי המשפט לפעול בניגוד לברירת המחדל, באופן המאפשר להפחית מחלקו של בן-זוג באיזון, אל מתחת למחצית, אם קיימות נסיבות מיוחדות המצדיקות זאת.</w:t>
      </w:r>
    </w:p>
    <w:p w:rsidR="00422AE5" w:rsidRDefault="00422AE5" w:rsidP="00422AE5">
      <w:pPr>
        <w:pStyle w:val="ad"/>
        <w:spacing w:after="0" w:line="360" w:lineRule="auto"/>
        <w:jc w:val="both"/>
        <w:rPr>
          <w:rFonts w:ascii="David" w:eastAsia="Calibri" w:hAnsi="David" w:cs="David"/>
          <w:spacing w:val="10"/>
          <w:sz w:val="24"/>
          <w:szCs w:val="24"/>
          <w:rtl/>
        </w:rPr>
      </w:pPr>
    </w:p>
    <w:p w:rsidR="00422AE5" w:rsidRPr="00422AE5" w:rsidRDefault="00422AE5" w:rsidP="00422AE5">
      <w:pPr>
        <w:pStyle w:val="ad"/>
        <w:spacing w:after="0" w:line="360" w:lineRule="auto"/>
        <w:jc w:val="both"/>
        <w:rPr>
          <w:rFonts w:ascii="David" w:eastAsia="Times New Roman" w:hAnsi="David" w:cs="David"/>
          <w:sz w:val="24"/>
          <w:szCs w:val="24"/>
          <w:rtl/>
        </w:rPr>
      </w:pPr>
      <w:r>
        <w:rPr>
          <w:rFonts w:ascii="David" w:eastAsia="Calibri" w:hAnsi="David" w:cs="David" w:hint="cs"/>
          <w:spacing w:val="10"/>
          <w:sz w:val="24"/>
          <w:szCs w:val="24"/>
          <w:rtl/>
        </w:rPr>
        <w:t>ודוק: הסמכות לפעול בניגוד לברירת המחדל הינה סמכות שבשיקול דעת הערכאה המבררת, ומכאן התערבות ערכאת הערעור תהא מצומצמת ביותר ויש להותירה לאותם מקרים חריגים, כשהמקרה שלפנינו אינו נמנה עמם.</w:t>
      </w:r>
    </w:p>
    <w:p w:rsidR="00C26613" w:rsidRDefault="00422AE5" w:rsidP="00422AE5">
      <w:pPr>
        <w:tabs>
          <w:tab w:val="left" w:pos="651"/>
          <w:tab w:val="left" w:pos="800"/>
        </w:tabs>
        <w:overflowPunct w:val="0"/>
        <w:autoSpaceDE w:val="0"/>
        <w:autoSpaceDN w:val="0"/>
        <w:adjustRightInd w:val="0"/>
        <w:spacing w:before="240" w:after="240" w:line="360" w:lineRule="auto"/>
        <w:ind w:left="651"/>
        <w:jc w:val="both"/>
        <w:rPr>
          <w:rFonts w:ascii="David" w:eastAsia="Calibri" w:hAnsi="David"/>
          <w:spacing w:val="10"/>
          <w:rtl/>
        </w:rPr>
      </w:pPr>
      <w:r>
        <w:rPr>
          <w:rFonts w:ascii="David" w:eastAsia="Calibri" w:hAnsi="David" w:hint="cs"/>
          <w:spacing w:val="10"/>
          <w:rtl/>
        </w:rPr>
        <w:t xml:space="preserve">נוסיף כי </w:t>
      </w:r>
      <w:r w:rsidR="00C26613">
        <w:rPr>
          <w:rFonts w:ascii="David" w:eastAsia="Calibri" w:hAnsi="David"/>
          <w:spacing w:val="10"/>
          <w:rtl/>
        </w:rPr>
        <w:t>בית המשפט העליון, בפסיקה עקבית וארוכת-שנים, פיתח אבני-בוחן ראויים לבחינת הנסיבות לשימוש בסמכות זו, בהת</w:t>
      </w:r>
      <w:r>
        <w:rPr>
          <w:rFonts w:ascii="David" w:eastAsia="Calibri" w:hAnsi="David"/>
          <w:spacing w:val="10"/>
          <w:rtl/>
        </w:rPr>
        <w:t>אם לתכלית המצויה בבסיס הוראת ה</w:t>
      </w:r>
      <w:r>
        <w:rPr>
          <w:rFonts w:ascii="David" w:eastAsia="Calibri" w:hAnsi="David" w:hint="cs"/>
          <w:spacing w:val="10"/>
          <w:rtl/>
        </w:rPr>
        <w:t>חו</w:t>
      </w:r>
      <w:r>
        <w:rPr>
          <w:rFonts w:ascii="David" w:eastAsia="Calibri" w:hAnsi="David"/>
          <w:spacing w:val="10"/>
          <w:rtl/>
        </w:rPr>
        <w:t xml:space="preserve">ק </w:t>
      </w:r>
      <w:r>
        <w:rPr>
          <w:rFonts w:ascii="David" w:eastAsia="Calibri" w:hAnsi="David" w:hint="cs"/>
          <w:spacing w:val="10"/>
          <w:rtl/>
        </w:rPr>
        <w:t xml:space="preserve"> (ר' עמ"ש(חי')34220-03-22 א' נ' ב' (18.08.2023), עמ"ש (חי') 5420-10-21 א' נ' ב' (18.04.2022)).</w:t>
      </w:r>
    </w:p>
    <w:p w:rsidR="00C26613" w:rsidRPr="00422AE5" w:rsidRDefault="00C26613" w:rsidP="00422AE5">
      <w:pPr>
        <w:tabs>
          <w:tab w:val="left" w:pos="651"/>
          <w:tab w:val="left" w:pos="800"/>
        </w:tabs>
        <w:overflowPunct w:val="0"/>
        <w:autoSpaceDE w:val="0"/>
        <w:autoSpaceDN w:val="0"/>
        <w:adjustRightInd w:val="0"/>
        <w:spacing w:before="240" w:after="240" w:line="360" w:lineRule="auto"/>
        <w:ind w:left="651"/>
        <w:jc w:val="both"/>
        <w:rPr>
          <w:rFonts w:ascii="David" w:eastAsia="Calibri" w:hAnsi="David"/>
          <w:spacing w:val="10"/>
          <w:rtl/>
        </w:rPr>
      </w:pPr>
      <w:r>
        <w:rPr>
          <w:rFonts w:ascii="David" w:eastAsia="Calibri" w:hAnsi="David"/>
          <w:spacing w:val="10"/>
          <w:rtl/>
        </w:rPr>
        <w:t>אפנה בעניין זה לדבריו של כב' המשנה לנשיאה, השופט</w:t>
      </w:r>
      <w:r w:rsidR="00422AE5">
        <w:rPr>
          <w:rFonts w:ascii="David" w:eastAsia="Calibri" w:hAnsi="David" w:hint="cs"/>
          <w:spacing w:val="10"/>
          <w:rtl/>
        </w:rPr>
        <w:t xml:space="preserve"> (כתוארו אז)</w:t>
      </w:r>
      <w:r>
        <w:rPr>
          <w:rFonts w:ascii="David" w:eastAsia="Calibri" w:hAnsi="David"/>
          <w:spacing w:val="10"/>
          <w:rtl/>
        </w:rPr>
        <w:t xml:space="preserve"> נ. הנדל ב-</w:t>
      </w:r>
      <w:hyperlink r:id="rId10" w:history="1">
        <w:r w:rsidRPr="00422AE5">
          <w:rPr>
            <w:rStyle w:val="Hyperlink"/>
            <w:rFonts w:ascii="David" w:eastAsia="Calibri" w:hAnsi="David"/>
            <w:color w:val="auto"/>
            <w:spacing w:val="10"/>
            <w:u w:val="none"/>
            <w:rtl/>
          </w:rPr>
          <w:t>בע"מ 7272/10</w:t>
        </w:r>
      </w:hyperlink>
      <w:r>
        <w:rPr>
          <w:rFonts w:ascii="David" w:eastAsia="Calibri" w:hAnsi="David"/>
          <w:spacing w:val="10"/>
          <w:rtl/>
        </w:rPr>
        <w:t xml:space="preserve"> </w:t>
      </w:r>
      <w:r>
        <w:rPr>
          <w:rFonts w:ascii="David" w:eastAsia="Calibri" w:hAnsi="David" w:hint="cs"/>
          <w:b/>
          <w:bCs/>
          <w:spacing w:val="10"/>
          <w:rtl/>
        </w:rPr>
        <w:t xml:space="preserve">פלונית נ' פלוני </w:t>
      </w:r>
      <w:r>
        <w:rPr>
          <w:rFonts w:ascii="David" w:eastAsia="Calibri" w:hAnsi="David"/>
          <w:spacing w:val="10"/>
          <w:rtl/>
        </w:rPr>
        <w:t>(07.01.2014), פסקה 2</w:t>
      </w:r>
      <w:r>
        <w:rPr>
          <w:rFonts w:ascii="David" w:eastAsia="Calibri" w:hAnsi="David"/>
          <w:spacing w:val="10"/>
        </w:rPr>
        <w:t>:</w:t>
      </w:r>
    </w:p>
    <w:p w:rsidR="00C26613" w:rsidRDefault="00C26613" w:rsidP="00C26613">
      <w:pPr>
        <w:overflowPunct w:val="0"/>
        <w:autoSpaceDE w:val="0"/>
        <w:autoSpaceDN w:val="0"/>
        <w:spacing w:line="360" w:lineRule="auto"/>
        <w:ind w:firstLine="720"/>
        <w:jc w:val="both"/>
        <w:rPr>
          <w:rFonts w:ascii="David" w:hAnsi="David"/>
          <w:spacing w:val="10"/>
          <w:rtl/>
          <w:lang w:eastAsia="he-IL"/>
        </w:rPr>
      </w:pPr>
    </w:p>
    <w:p w:rsidR="00C26613" w:rsidRDefault="00C26613" w:rsidP="00C26613">
      <w:pPr>
        <w:overflowPunct w:val="0"/>
        <w:autoSpaceDE w:val="0"/>
        <w:autoSpaceDN w:val="0"/>
        <w:spacing w:line="360" w:lineRule="auto"/>
        <w:ind w:left="2160"/>
        <w:jc w:val="both"/>
        <w:rPr>
          <w:rFonts w:ascii="David" w:hAnsi="David"/>
          <w:spacing w:val="10"/>
          <w:rtl/>
          <w:lang w:eastAsia="he-IL"/>
        </w:rPr>
      </w:pPr>
      <w:r>
        <w:rPr>
          <w:rFonts w:ascii="David" w:hAnsi="David"/>
          <w:spacing w:val="10"/>
          <w:rtl/>
          <w:lang w:eastAsia="he-IL"/>
        </w:rPr>
        <w:t>"</w:t>
      </w:r>
      <w:r>
        <w:rPr>
          <w:rFonts w:ascii="David" w:hAnsi="David"/>
          <w:b/>
          <w:bCs/>
          <w:spacing w:val="10"/>
          <w:rtl/>
          <w:lang w:eastAsia="he-IL"/>
        </w:rPr>
        <w:t xml:space="preserve">סעיף 8 ניצב ככביש עוקף שמאפשר לסטות מן המסלול הראשי בסעיף 5 לחוק. הוא מציג סמכות שבשיקול דעת ליצור חלוקת רכוש בין בני זוג אשר מתחשבת בשיקולים שונים של צדק ומדיניות שעד כה לא באו לידי ביטוי (ראו עמדתו של ש' ליפשיץ בנוגע לסמכות האקוויטבילית של בית המשפט במאמרו "יחסי משפחה וממון: אתגרים ומשימות בעקבות תיקון מס' 4 </w:t>
      </w:r>
      <w:hyperlink r:id="rId11" w:history="1">
        <w:r w:rsidRPr="00422AE5">
          <w:rPr>
            <w:rStyle w:val="Hyperlink"/>
            <w:rFonts w:ascii="David" w:hAnsi="David"/>
            <w:b/>
            <w:bCs/>
            <w:color w:val="auto"/>
            <w:spacing w:val="10"/>
            <w:rtl/>
            <w:lang w:eastAsia="he-IL"/>
          </w:rPr>
          <w:t>חוק יחסי ממון</w:t>
        </w:r>
      </w:hyperlink>
      <w:r w:rsidRPr="00422AE5">
        <w:rPr>
          <w:rFonts w:ascii="David" w:hAnsi="David"/>
          <w:b/>
          <w:bCs/>
          <w:spacing w:val="10"/>
          <w:rtl/>
          <w:lang w:eastAsia="he-IL"/>
        </w:rPr>
        <w:t>"</w:t>
      </w:r>
      <w:r>
        <w:rPr>
          <w:rFonts w:ascii="David" w:hAnsi="David"/>
          <w:b/>
          <w:bCs/>
          <w:spacing w:val="10"/>
          <w:rtl/>
          <w:lang w:eastAsia="he-IL"/>
        </w:rPr>
        <w:t xml:space="preserve"> חוקים א 227, 300 (2009)(להלן: ליפשיץ)). שיקול הדעת המוקנה לבית המשפט בסעיף נועד לשימוש במקרים מיוחדים בהם ההסדר הכללי בחוק עשוי להוביל לתוצאות שאינן רצויות ולאי צדק ברור (רוזן-צבי, 352). כבר נאמר על-ידי בית משפט זה </w:t>
      </w:r>
      <w:r>
        <w:rPr>
          <w:rFonts w:ascii="David" w:hAnsi="David"/>
          <w:b/>
          <w:bCs/>
          <w:spacing w:val="10"/>
          <w:rtl/>
          <w:lang w:eastAsia="he-IL"/>
        </w:rPr>
        <w:lastRenderedPageBreak/>
        <w:t>כי סעיף 8 מאפשר לערכאות השיפוטיות גמישות רבה לערוך איזון נכסים הוגן על פי שיקולים כלכליים ואחרים (עניין יעקובי, 614). ויודגש – איזון הוגן, אף שאינו שווה. הסעיף משמש פתח להעניק יותר מאשר שווי מחצית הרכוש לצד הנזקק תוך התחשבות בשיקולים כלכליים ואחרים (שם, שם). ברירת החלוקה הלא חציונית של הנכסים מכוח סעיף 8(2) לחוק נועדה למנוע תוצאה בלתי שוויונית ושאינה צודקת ולאפשר שוויון הזדמנויות מהותי לבן הזוג "החלש" (</w:t>
      </w:r>
      <w:hyperlink r:id="rId12" w:history="1">
        <w:r w:rsidRPr="00422AE5">
          <w:rPr>
            <w:rStyle w:val="Hyperlink"/>
            <w:rFonts w:ascii="David" w:hAnsi="David"/>
            <w:b/>
            <w:bCs/>
            <w:color w:val="auto"/>
            <w:spacing w:val="10"/>
            <w:rtl/>
            <w:lang w:eastAsia="he-IL"/>
          </w:rPr>
          <w:t>בג"ץ 2533/11</w:t>
        </w:r>
      </w:hyperlink>
      <w:r>
        <w:rPr>
          <w:rFonts w:ascii="David" w:hAnsi="David"/>
          <w:b/>
          <w:bCs/>
          <w:spacing w:val="10"/>
          <w:rtl/>
          <w:lang w:eastAsia="he-IL"/>
        </w:rPr>
        <w:t xml:space="preserve"> פלונית נ' בית הדין הרבני הגדול, [פורסם בנבו] חוות דעתו של השופט י' עמית (26.10.11)). הוצגה הגישה לפיה הסדר החלוקה צריך להתמקד לאו דווקא בחלוקה שווה בשווה; אלא חלוקה שתקנה לכל אחד מבני הזוג שוויון הזדמנויות בחיים שלאחר הפירוד, כך שכל אחד כשלעצמו יוכל לבנות את עתידו (ש' שוחט "הלכת השיתוף - מחלוקה שווה לשוויוניות בחלוקה" ספר שמגר ג 731, 739 (תשס"ג)). תכליתו של סעיף 8 הינה לאפשר לבית המשפט לסטות מההסדר בסעיף 5 כדי לקיים את העקרונות המנחים שעומדים ביסודו של ההסדר – שוויון ואוטונומיה – גם במקרים המיוחדים. נדמה כי שיקולי מדיניות תומכים בחלוקה מחצה על מחצה של נכסי בני הזוג, לא רק כדי לשקף את השוויון, אלא גם על מנת לקדם אותו...</w:t>
      </w:r>
      <w:r>
        <w:rPr>
          <w:rFonts w:ascii="David" w:hAnsi="David"/>
          <w:spacing w:val="10"/>
          <w:rtl/>
          <w:lang w:eastAsia="he-IL"/>
        </w:rPr>
        <w:t>"</w:t>
      </w:r>
    </w:p>
    <w:p w:rsidR="00C26613" w:rsidRDefault="00C26613" w:rsidP="00C26613">
      <w:pPr>
        <w:overflowPunct w:val="0"/>
        <w:autoSpaceDE w:val="0"/>
        <w:autoSpaceDN w:val="0"/>
        <w:spacing w:line="360" w:lineRule="auto"/>
        <w:ind w:firstLine="720"/>
        <w:jc w:val="both"/>
        <w:rPr>
          <w:rFonts w:ascii="David" w:hAnsi="David"/>
          <w:spacing w:val="10"/>
          <w:lang w:eastAsia="he-IL"/>
        </w:rPr>
      </w:pPr>
    </w:p>
    <w:p w:rsidR="00C26613" w:rsidRDefault="00C26613" w:rsidP="00422AE5">
      <w:pPr>
        <w:tabs>
          <w:tab w:val="left" w:pos="651"/>
          <w:tab w:val="left" w:pos="800"/>
        </w:tabs>
        <w:overflowPunct w:val="0"/>
        <w:autoSpaceDE w:val="0"/>
        <w:autoSpaceDN w:val="0"/>
        <w:adjustRightInd w:val="0"/>
        <w:spacing w:before="240" w:after="240" w:line="360" w:lineRule="auto"/>
        <w:ind w:left="368"/>
        <w:jc w:val="both"/>
        <w:rPr>
          <w:rFonts w:ascii="David" w:eastAsia="Calibri" w:hAnsi="David"/>
          <w:spacing w:val="10"/>
          <w:rtl/>
        </w:rPr>
      </w:pPr>
      <w:r>
        <w:rPr>
          <w:rFonts w:ascii="David" w:eastAsia="Calibri" w:hAnsi="David"/>
          <w:spacing w:val="10"/>
          <w:rtl/>
        </w:rPr>
        <w:t>וכן לדבריו של כב' המשנה לנשיאה, השופט (כתוארו אז) א. רובינשטיין ב-</w:t>
      </w:r>
      <w:hyperlink r:id="rId13" w:history="1">
        <w:r w:rsidRPr="00422AE5">
          <w:rPr>
            <w:rStyle w:val="Hyperlink"/>
            <w:rFonts w:ascii="David" w:eastAsia="Calibri" w:hAnsi="David"/>
            <w:color w:val="auto"/>
            <w:spacing w:val="10"/>
            <w:u w:val="none"/>
            <w:rtl/>
          </w:rPr>
          <w:t>בע"מ 8206/14</w:t>
        </w:r>
      </w:hyperlink>
      <w:r>
        <w:rPr>
          <w:rFonts w:ascii="David" w:eastAsia="Calibri" w:hAnsi="David"/>
          <w:spacing w:val="10"/>
          <w:rtl/>
        </w:rPr>
        <w:t xml:space="preserve"> </w:t>
      </w:r>
      <w:r>
        <w:rPr>
          <w:rFonts w:ascii="David" w:eastAsia="Calibri" w:hAnsi="David" w:hint="cs"/>
          <w:b/>
          <w:bCs/>
          <w:spacing w:val="10"/>
          <w:rtl/>
        </w:rPr>
        <w:t>פלונית נ' פלוני</w:t>
      </w:r>
      <w:r>
        <w:rPr>
          <w:rFonts w:ascii="David" w:eastAsia="Calibri" w:hAnsi="David" w:hint="cs"/>
          <w:spacing w:val="10"/>
          <w:rtl/>
        </w:rPr>
        <w:t xml:space="preserve"> </w:t>
      </w:r>
      <w:r w:rsidR="00422AE5">
        <w:rPr>
          <w:rFonts w:ascii="David" w:eastAsia="Calibri" w:hAnsi="David"/>
          <w:spacing w:val="10"/>
          <w:rtl/>
        </w:rPr>
        <w:t>(14.04.2015)</w:t>
      </w:r>
      <w:r w:rsidR="00422AE5">
        <w:rPr>
          <w:rFonts w:ascii="David" w:eastAsia="Calibri" w:hAnsi="David" w:hint="cs"/>
          <w:spacing w:val="10"/>
          <w:rtl/>
        </w:rPr>
        <w:t xml:space="preserve">, </w:t>
      </w:r>
      <w:r>
        <w:rPr>
          <w:rFonts w:ascii="David" w:eastAsia="Calibri" w:hAnsi="David"/>
          <w:spacing w:val="10"/>
          <w:rtl/>
        </w:rPr>
        <w:t>פסקה טו</w:t>
      </w:r>
      <w:r w:rsidR="00422AE5">
        <w:rPr>
          <w:rFonts w:ascii="David" w:eastAsia="Calibri" w:hAnsi="David" w:hint="cs"/>
          <w:spacing w:val="10"/>
          <w:rtl/>
        </w:rPr>
        <w:t>'</w:t>
      </w:r>
      <w:r>
        <w:rPr>
          <w:rFonts w:ascii="David" w:eastAsia="Calibri" w:hAnsi="David"/>
          <w:spacing w:val="10"/>
          <w:rtl/>
        </w:rPr>
        <w:t>:</w:t>
      </w:r>
    </w:p>
    <w:p w:rsidR="00C26613" w:rsidRDefault="00C26613" w:rsidP="00C26613">
      <w:pPr>
        <w:tabs>
          <w:tab w:val="left" w:pos="800"/>
        </w:tabs>
        <w:overflowPunct w:val="0"/>
        <w:autoSpaceDE w:val="0"/>
        <w:autoSpaceDN w:val="0"/>
        <w:adjustRightInd w:val="0"/>
        <w:spacing w:before="240" w:after="240" w:line="360" w:lineRule="auto"/>
        <w:ind w:left="-52"/>
        <w:jc w:val="both"/>
        <w:rPr>
          <w:rFonts w:ascii="David" w:eastAsia="Calibri" w:hAnsi="David"/>
          <w:spacing w:val="10"/>
          <w:rtl/>
        </w:rPr>
      </w:pPr>
    </w:p>
    <w:p w:rsidR="00C26613" w:rsidRPr="00422AE5" w:rsidRDefault="00C26613" w:rsidP="00C26613">
      <w:pPr>
        <w:tabs>
          <w:tab w:val="left" w:pos="800"/>
        </w:tabs>
        <w:overflowPunct w:val="0"/>
        <w:autoSpaceDE w:val="0"/>
        <w:autoSpaceDN w:val="0"/>
        <w:adjustRightInd w:val="0"/>
        <w:spacing w:before="240" w:after="240" w:line="360" w:lineRule="auto"/>
        <w:ind w:left="2160"/>
        <w:jc w:val="both"/>
        <w:rPr>
          <w:rFonts w:ascii="David" w:eastAsia="Calibri" w:hAnsi="David"/>
          <w:spacing w:val="10"/>
          <w:rtl/>
        </w:rPr>
      </w:pPr>
      <w:r>
        <w:rPr>
          <w:rFonts w:ascii="David" w:eastAsia="Calibri" w:hAnsi="David"/>
          <w:spacing w:val="10"/>
          <w:rtl/>
        </w:rPr>
        <w:t>"</w:t>
      </w:r>
      <w:r>
        <w:rPr>
          <w:rFonts w:ascii="David" w:eastAsia="Calibri" w:hAnsi="David"/>
          <w:b/>
          <w:bCs/>
          <w:spacing w:val="10"/>
          <w:rtl/>
        </w:rPr>
        <w:t>המחוקק הותיר לשיקול דעתם של בתי המשפט ובתי הדין פיתוח כללים מתאימים באשר לנסיבות הספציפיות לשימוש בסמכות זו, ואין מדובר ברשימה סגורה (ראו למשל אריאל רוזן-</w:t>
      </w:r>
      <w:hyperlink r:id="rId14" w:history="1">
        <w:r w:rsidRPr="00422AE5">
          <w:rPr>
            <w:rStyle w:val="Hyperlink"/>
            <w:rFonts w:ascii="David" w:eastAsia="Calibri" w:hAnsi="David"/>
            <w:b/>
            <w:bCs/>
            <w:color w:val="auto"/>
            <w:spacing w:val="10"/>
            <w:rtl/>
          </w:rPr>
          <w:t>צבי יחסי ממון בין בני</w:t>
        </w:r>
      </w:hyperlink>
      <w:r w:rsidRPr="00422AE5">
        <w:rPr>
          <w:rFonts w:ascii="David" w:eastAsia="Calibri" w:hAnsi="David"/>
          <w:b/>
          <w:bCs/>
          <w:spacing w:val="10"/>
          <w:rtl/>
        </w:rPr>
        <w:t xml:space="preserve"> זוג (תשמ"ב) (להלן רוזן-צבי); </w:t>
      </w:r>
      <w:hyperlink r:id="rId15" w:history="1">
        <w:r w:rsidRPr="00422AE5">
          <w:rPr>
            <w:rStyle w:val="Hyperlink"/>
            <w:rFonts w:ascii="David" w:eastAsia="Calibri" w:hAnsi="David"/>
            <w:b/>
            <w:bCs/>
            <w:color w:val="auto"/>
            <w:spacing w:val="10"/>
            <w:rtl/>
          </w:rPr>
          <w:t>בע"מ 7272/10</w:t>
        </w:r>
      </w:hyperlink>
      <w:r w:rsidRPr="00422AE5">
        <w:rPr>
          <w:rFonts w:ascii="David" w:eastAsia="Calibri" w:hAnsi="David"/>
          <w:b/>
          <w:bCs/>
          <w:spacing w:val="10"/>
          <w:rtl/>
        </w:rPr>
        <w:t xml:space="preserve"> פלונית נ' פלוני [פורסם בנבו] (2014), פסקה 2 לחוות דעתו של השופט הנדל; </w:t>
      </w:r>
      <w:hyperlink r:id="rId16" w:history="1">
        <w:r w:rsidRPr="00422AE5">
          <w:rPr>
            <w:rStyle w:val="Hyperlink"/>
            <w:rFonts w:ascii="David" w:eastAsia="Calibri" w:hAnsi="David"/>
            <w:b/>
            <w:bCs/>
            <w:color w:val="auto"/>
            <w:spacing w:val="10"/>
            <w:rtl/>
          </w:rPr>
          <w:t>בע"מ 4047/14</w:t>
        </w:r>
      </w:hyperlink>
      <w:r w:rsidRPr="00422AE5">
        <w:rPr>
          <w:rFonts w:ascii="David" w:eastAsia="Calibri" w:hAnsi="David"/>
          <w:b/>
          <w:bCs/>
          <w:spacing w:val="10"/>
          <w:rtl/>
        </w:rPr>
        <w:t xml:space="preserve"> פלוני נ' פלונית [פורסם בנבו] (2014) פסקה ו'; </w:t>
      </w:r>
      <w:hyperlink r:id="rId17" w:history="1">
        <w:r w:rsidRPr="00422AE5">
          <w:rPr>
            <w:rStyle w:val="Hyperlink"/>
            <w:rFonts w:ascii="David" w:eastAsia="Calibri" w:hAnsi="David"/>
            <w:b/>
            <w:bCs/>
            <w:color w:val="auto"/>
            <w:spacing w:val="10"/>
            <w:rtl/>
          </w:rPr>
          <w:t>תמ"ש (שלום י-ם) 20964/02</w:t>
        </w:r>
      </w:hyperlink>
      <w:r w:rsidRPr="00422AE5">
        <w:rPr>
          <w:rFonts w:ascii="David" w:eastAsia="Calibri" w:hAnsi="David"/>
          <w:b/>
          <w:bCs/>
          <w:spacing w:val="10"/>
          <w:rtl/>
        </w:rPr>
        <w:t xml:space="preserve"> פלונית נ' אלמוני [פורסם בנבו] (2009) (להלן עניין פלונית 2009)). נסיבות מיוחדות, כאמור, התפתחו בחלוף הזמן והותאמו למצבי המשפחה החדשים שאותם </w:t>
      </w:r>
      <w:r w:rsidRPr="00422AE5">
        <w:rPr>
          <w:rFonts w:ascii="David" w:eastAsia="Calibri" w:hAnsi="David"/>
          <w:b/>
          <w:bCs/>
          <w:spacing w:val="10"/>
          <w:rtl/>
        </w:rPr>
        <w:lastRenderedPageBreak/>
        <w:t xml:space="preserve">הביאה בכנפיה "רוח העידן, פתיחת הדלתות לגישה שאינה 'פורמאלית' בלבד הנאחזת ברישום הנכס, אלא בוחנת מצבים חברתיים ואישיים למהותם, מרחפת על פני הפסיקה זה שנים באשר לשיתוף הנכסים גם לגבי נכסים שנרכשו לפני הנישואין, ובייחוד דירת המגורים. [...] ככל שהתוכן המשותף שנוצק לקניין, ובוודאי לדירת המגורים של זוג ומשפחה, משמעותי יותר, וככל שהייתה שותפות נמשכת בחיי הנישואין ולה ביטויים מסוגים שונים, גם אם לא היו החיים 'גן של ורדים' בכל עת ובכל שעה, כן מצדיקה ההגינות כי תגבר ההתייחסות לחזקת השיתוף, ובייחוד על נכס כמו דירת המגורים, קן המשפחה" (חוות דעתי </w:t>
      </w:r>
      <w:hyperlink r:id="rId18" w:history="1">
        <w:r w:rsidRPr="00422AE5">
          <w:rPr>
            <w:rStyle w:val="Hyperlink"/>
            <w:rFonts w:ascii="David" w:eastAsia="Calibri" w:hAnsi="David"/>
            <w:b/>
            <w:bCs/>
            <w:color w:val="auto"/>
            <w:spacing w:val="10"/>
            <w:rtl/>
          </w:rPr>
          <w:t>בע"מ 5939/04</w:t>
        </w:r>
      </w:hyperlink>
      <w:r w:rsidRPr="00422AE5">
        <w:rPr>
          <w:rFonts w:ascii="David" w:eastAsia="Calibri" w:hAnsi="David"/>
          <w:b/>
          <w:bCs/>
          <w:spacing w:val="10"/>
          <w:rtl/>
        </w:rPr>
        <w:t xml:space="preserve"> פלוני נ' פלונית, פ"ד נט(1) 665 (2004), עמ' 672-671; </w:t>
      </w:r>
      <w:hyperlink r:id="rId19" w:history="1">
        <w:r w:rsidRPr="00422AE5">
          <w:rPr>
            <w:rStyle w:val="Hyperlink"/>
            <w:rFonts w:ascii="David" w:eastAsia="Calibri" w:hAnsi="David"/>
            <w:b/>
            <w:bCs/>
            <w:color w:val="auto"/>
            <w:spacing w:val="10"/>
            <w:rtl/>
          </w:rPr>
          <w:t>בע"מ 1398/11</w:t>
        </w:r>
      </w:hyperlink>
      <w:r w:rsidRPr="00422AE5">
        <w:rPr>
          <w:rFonts w:ascii="David" w:eastAsia="Calibri" w:hAnsi="David"/>
          <w:b/>
          <w:bCs/>
          <w:spacing w:val="10"/>
          <w:rtl/>
        </w:rPr>
        <w:t xml:space="preserve"> אלמונית נ' אלמוני [פורסם בנבו] (2012) פסקה 15). ואכן התפתחו מצבי משפחה, שכפי שנאמר בהקשר אחר בטאון "מערכות יחסים שלא שערום אבותינו" (</w:t>
      </w:r>
      <w:hyperlink r:id="rId20" w:history="1">
        <w:r w:rsidRPr="00422AE5">
          <w:rPr>
            <w:rStyle w:val="Hyperlink"/>
            <w:rFonts w:ascii="David" w:eastAsia="Calibri" w:hAnsi="David"/>
            <w:b/>
            <w:bCs/>
            <w:color w:val="auto"/>
            <w:spacing w:val="10"/>
            <w:rtl/>
          </w:rPr>
          <w:t>בג"ץ 4178/04</w:t>
        </w:r>
      </w:hyperlink>
      <w:r w:rsidRPr="00422AE5">
        <w:rPr>
          <w:rFonts w:ascii="David" w:eastAsia="Calibri" w:hAnsi="David"/>
          <w:b/>
          <w:bCs/>
          <w:spacing w:val="10"/>
          <w:rtl/>
        </w:rPr>
        <w:t xml:space="preserve"> פלונית נ' בית הדין הרבני לערעורים, פ"ד סב(1) 235 (2006) (להלן עניין פלוני 2006)). האפשרות של אחד מבני הזוג, כאן המשיב-הבעל, להיות "נפקד נוכח" בביתו תוך שהאשה משלימה עם מצב עגמומי זה, אם ברצונה לשיטת המשיב, ואם שלא מרצונה לשיטתה. מצב זה כינה השופט ויצמן "שיתופיות מוחלשת" והמינוח מקובל עלי, ולדידי ניתן להשתמש גם בביטוי "שיתופיות לשיעורין". מצב כזה מן הסתם אינו שכיח מאוד, אך אין – גם על פי השכל הישר – להתעלם מקיומו ומקיום מצבים דומים לו של יחסים "מן הצד", יחסי פילגשות וכדומה. לפיכך, על דרך הכלל, ותהא עמדתנו הערכית כלפי יחסים כאלה כאשר תהא, יש מקום לתת לכך ביטוי גם באופן החלוקה, מקום שבעלי הדין מנהלים מערכת לא שויונית, בשונה מן המצב ה"רגיל", בו אמורים שני הצדדים להירתם יחדיו לקיום התא המשפחתי, כנדרש לצורך חלוקת מחצה על מחצה לפי סעיף 5 לחוק, כאמת המידה המרכזית להפעלת סמכותו של בית המשפט בגדרי יחסי ממון....</w:t>
      </w:r>
      <w:r w:rsidRPr="00422AE5">
        <w:rPr>
          <w:rFonts w:ascii="David" w:eastAsia="Calibri" w:hAnsi="David"/>
          <w:spacing w:val="10"/>
          <w:rtl/>
        </w:rPr>
        <w:t>" (ההדגשות אינן במקור).</w:t>
      </w:r>
    </w:p>
    <w:p w:rsidR="00C26613" w:rsidRDefault="00C26613" w:rsidP="00422AE5">
      <w:pPr>
        <w:pStyle w:val="ad"/>
        <w:numPr>
          <w:ilvl w:val="0"/>
          <w:numId w:val="1"/>
        </w:numPr>
        <w:spacing w:line="360" w:lineRule="auto"/>
        <w:jc w:val="both"/>
        <w:rPr>
          <w:rFonts w:ascii="David" w:hAnsi="David" w:cs="David"/>
          <w:sz w:val="24"/>
          <w:szCs w:val="24"/>
        </w:rPr>
      </w:pPr>
      <w:r w:rsidRPr="00422AE5">
        <w:rPr>
          <w:rFonts w:ascii="David" w:eastAsia="Times New Roman" w:hAnsi="David" w:cs="David"/>
          <w:sz w:val="24"/>
          <w:szCs w:val="24"/>
          <w:rtl/>
        </w:rPr>
        <w:t>בענ</w:t>
      </w:r>
      <w:r w:rsidR="00422AE5">
        <w:rPr>
          <w:rFonts w:ascii="David" w:eastAsia="Times New Roman" w:hAnsi="David" w:cs="David"/>
          <w:sz w:val="24"/>
          <w:szCs w:val="24"/>
          <w:rtl/>
        </w:rPr>
        <w:t>ייננו, הגיע בית משפט קמא למסקנה</w:t>
      </w:r>
      <w:r w:rsidRPr="00422AE5">
        <w:rPr>
          <w:rFonts w:ascii="David" w:eastAsia="Times New Roman" w:hAnsi="David" w:cs="David"/>
          <w:sz w:val="24"/>
          <w:szCs w:val="24"/>
          <w:rtl/>
        </w:rPr>
        <w:t xml:space="preserve"> לפיה אין לעשות שימוש בהוראת </w:t>
      </w:r>
      <w:hyperlink r:id="rId21" w:history="1">
        <w:r w:rsidRPr="00422AE5">
          <w:rPr>
            <w:rStyle w:val="Hyperlink"/>
            <w:rFonts w:ascii="David" w:eastAsia="Times New Roman" w:hAnsi="David" w:cs="David"/>
            <w:color w:val="auto"/>
            <w:sz w:val="24"/>
            <w:szCs w:val="24"/>
            <w:u w:val="none"/>
            <w:rtl/>
          </w:rPr>
          <w:t>סעיף 8(2)</w:t>
        </w:r>
      </w:hyperlink>
      <w:r w:rsidRPr="00422AE5">
        <w:rPr>
          <w:rFonts w:ascii="David" w:eastAsia="Times New Roman" w:hAnsi="David" w:cs="David"/>
          <w:sz w:val="24"/>
          <w:szCs w:val="24"/>
          <w:rtl/>
        </w:rPr>
        <w:t xml:space="preserve"> ל</w:t>
      </w:r>
      <w:hyperlink r:id="rId22" w:history="1">
        <w:r w:rsidRPr="00422AE5">
          <w:rPr>
            <w:rStyle w:val="Hyperlink"/>
            <w:rFonts w:ascii="David" w:eastAsia="Times New Roman" w:hAnsi="David" w:cs="David"/>
            <w:color w:val="auto"/>
            <w:sz w:val="24"/>
            <w:szCs w:val="24"/>
            <w:u w:val="none"/>
            <w:rtl/>
          </w:rPr>
          <w:t>חוק יחסי ממון</w:t>
        </w:r>
      </w:hyperlink>
      <w:r w:rsidR="00B02B6C">
        <w:rPr>
          <w:rStyle w:val="Hyperlink"/>
          <w:rFonts w:ascii="David" w:eastAsia="Times New Roman" w:hAnsi="David" w:cs="David"/>
          <w:color w:val="auto"/>
          <w:sz w:val="24"/>
          <w:szCs w:val="24"/>
          <w:u w:val="none"/>
        </w:rPr>
        <w:t xml:space="preserve"> </w:t>
      </w:r>
      <w:r w:rsidR="00B02B6C">
        <w:rPr>
          <w:rStyle w:val="Hyperlink"/>
          <w:rFonts w:ascii="David" w:eastAsia="Times New Roman" w:hAnsi="David" w:cs="David" w:hint="cs"/>
          <w:color w:val="auto"/>
          <w:sz w:val="24"/>
          <w:szCs w:val="24"/>
          <w:u w:val="none"/>
          <w:rtl/>
        </w:rPr>
        <w:t xml:space="preserve"> בין בני זוג</w:t>
      </w:r>
      <w:r w:rsidRPr="00422AE5">
        <w:rPr>
          <w:rFonts w:ascii="David" w:hAnsi="David" w:cs="David"/>
          <w:sz w:val="24"/>
          <w:szCs w:val="24"/>
          <w:rtl/>
        </w:rPr>
        <w:t xml:space="preserve">. נימוקה </w:t>
      </w:r>
      <w:r>
        <w:rPr>
          <w:rFonts w:ascii="David" w:hAnsi="David" w:cs="David"/>
          <w:sz w:val="24"/>
          <w:szCs w:val="24"/>
          <w:rtl/>
        </w:rPr>
        <w:t>של קביעה זו הורתה בנסיבות העניין דנן</w:t>
      </w:r>
      <w:r>
        <w:rPr>
          <w:rFonts w:ascii="David" w:hAnsi="David" w:cs="David"/>
          <w:sz w:val="24"/>
          <w:szCs w:val="24"/>
        </w:rPr>
        <w:t>;</w:t>
      </w:r>
      <w:r>
        <w:rPr>
          <w:rFonts w:ascii="David" w:hAnsi="David" w:cs="David"/>
          <w:sz w:val="24"/>
          <w:szCs w:val="24"/>
          <w:rtl/>
        </w:rPr>
        <w:t xml:space="preserve"> לא הוכחו נסיבות המצדיקות את שיקול הדעת שלא לאזן באופן רגיל של מחצה על מחצה</w:t>
      </w:r>
      <w:r w:rsidR="00422AE5">
        <w:rPr>
          <w:rFonts w:ascii="David" w:hAnsi="David" w:cs="David" w:hint="cs"/>
          <w:sz w:val="24"/>
          <w:szCs w:val="24"/>
          <w:rtl/>
        </w:rPr>
        <w:t xml:space="preserve"> </w:t>
      </w:r>
      <w:r>
        <w:rPr>
          <w:rFonts w:ascii="David" w:hAnsi="David" w:cs="David"/>
          <w:sz w:val="24"/>
          <w:szCs w:val="24"/>
          <w:rtl/>
        </w:rPr>
        <w:t>את הקצבה הנזכרת</w:t>
      </w:r>
      <w:r w:rsidR="00422AE5">
        <w:rPr>
          <w:rFonts w:ascii="David" w:hAnsi="David" w:cs="David" w:hint="cs"/>
          <w:sz w:val="24"/>
          <w:szCs w:val="24"/>
          <w:rtl/>
        </w:rPr>
        <w:t xml:space="preserve"> </w:t>
      </w:r>
      <w:r w:rsidR="00422AE5">
        <w:rPr>
          <w:rFonts w:ascii="David" w:hAnsi="David" w:cs="David" w:hint="cs"/>
          <w:sz w:val="24"/>
          <w:szCs w:val="24"/>
          <w:rtl/>
        </w:rPr>
        <w:lastRenderedPageBreak/>
        <w:t>(לתקופת הצבירה המשותפת)</w:t>
      </w:r>
      <w:r w:rsidR="00422AE5">
        <w:rPr>
          <w:rFonts w:ascii="David" w:hAnsi="David" w:cs="David"/>
          <w:sz w:val="24"/>
          <w:szCs w:val="24"/>
          <w:rtl/>
        </w:rPr>
        <w:t xml:space="preserve"> </w:t>
      </w:r>
      <w:r>
        <w:rPr>
          <w:rFonts w:ascii="David" w:hAnsi="David" w:cs="David"/>
          <w:sz w:val="24"/>
          <w:szCs w:val="24"/>
          <w:rtl/>
        </w:rPr>
        <w:t xml:space="preserve"> או לדחות את תשלומה.</w:t>
      </w:r>
      <w:r w:rsidR="00422AE5">
        <w:rPr>
          <w:rFonts w:ascii="David" w:hAnsi="David" w:cs="David" w:hint="cs"/>
          <w:sz w:val="24"/>
          <w:szCs w:val="24"/>
          <w:rtl/>
        </w:rPr>
        <w:t xml:space="preserve"> יתר על כן, פניה לדרך זו מתעלמת מהוראות הסכם הגירושין ומהווה סטיה מהוראותיו, שעה שסבורני כי פניה להוראת סע' 8 (2) </w:t>
      </w:r>
      <w:r>
        <w:rPr>
          <w:rFonts w:ascii="David" w:hAnsi="David" w:cs="David"/>
          <w:sz w:val="24"/>
          <w:szCs w:val="24"/>
          <w:rtl/>
        </w:rPr>
        <w:t xml:space="preserve"> </w:t>
      </w:r>
      <w:r w:rsidR="00422AE5">
        <w:rPr>
          <w:rFonts w:ascii="David" w:hAnsi="David" w:cs="David" w:hint="cs"/>
          <w:sz w:val="24"/>
          <w:szCs w:val="24"/>
          <w:rtl/>
        </w:rPr>
        <w:t>הינה</w:t>
      </w:r>
      <w:r w:rsidR="00B02B6C">
        <w:rPr>
          <w:rFonts w:ascii="David" w:hAnsi="David" w:cs="David" w:hint="cs"/>
          <w:sz w:val="24"/>
          <w:szCs w:val="24"/>
          <w:rtl/>
        </w:rPr>
        <w:t xml:space="preserve"> מוקשית, אם לא בלתי אפשרית, מקום </w:t>
      </w:r>
      <w:r w:rsidR="00422AE5">
        <w:rPr>
          <w:rFonts w:ascii="David" w:hAnsi="David" w:cs="David" w:hint="cs"/>
          <w:sz w:val="24"/>
          <w:szCs w:val="24"/>
          <w:rtl/>
        </w:rPr>
        <w:t>שהיא נוגדת הוראות הסכם מחייב.</w:t>
      </w:r>
    </w:p>
    <w:p w:rsidR="00242D5E" w:rsidRPr="00B02B6C" w:rsidRDefault="00242D5E" w:rsidP="00242D5E">
      <w:pPr>
        <w:spacing w:line="360" w:lineRule="auto"/>
        <w:jc w:val="both"/>
        <w:rPr>
          <w:rFonts w:ascii="David" w:hAnsi="David"/>
          <w:rtl/>
        </w:rPr>
      </w:pPr>
    </w:p>
    <w:p w:rsidR="00242D5E" w:rsidRPr="00242D5E" w:rsidRDefault="00242D5E" w:rsidP="00242D5E">
      <w:pPr>
        <w:spacing w:line="360" w:lineRule="auto"/>
        <w:jc w:val="both"/>
        <w:rPr>
          <w:rFonts w:ascii="David" w:hAnsi="David"/>
        </w:rPr>
      </w:pPr>
    </w:p>
    <w:p w:rsidR="00242D5E" w:rsidRPr="00242D5E" w:rsidRDefault="00242D5E" w:rsidP="00242D5E">
      <w:pPr>
        <w:pStyle w:val="ad"/>
        <w:numPr>
          <w:ilvl w:val="0"/>
          <w:numId w:val="1"/>
        </w:numPr>
        <w:spacing w:line="360" w:lineRule="auto"/>
        <w:jc w:val="both"/>
        <w:rPr>
          <w:rFonts w:ascii="David" w:hAnsi="David" w:cs="David"/>
          <w:sz w:val="24"/>
          <w:szCs w:val="24"/>
        </w:rPr>
      </w:pPr>
      <w:r w:rsidRPr="00242D5E">
        <w:rPr>
          <w:rFonts w:ascii="David" w:hAnsi="David" w:cs="David"/>
          <w:sz w:val="24"/>
          <w:szCs w:val="24"/>
          <w:rtl/>
        </w:rPr>
        <w:t>למעשה, ניתן לסכם הדברים ביחס לדחיית טענות המערער כדלקמן:</w:t>
      </w:r>
    </w:p>
    <w:p w:rsidR="00242D5E" w:rsidRDefault="00242D5E" w:rsidP="00242D5E">
      <w:pPr>
        <w:spacing w:line="360" w:lineRule="auto"/>
        <w:ind w:firstLine="720"/>
        <w:jc w:val="both"/>
        <w:rPr>
          <w:rFonts w:ascii="David" w:hAnsi="David"/>
          <w:rtl/>
        </w:rPr>
      </w:pPr>
      <w:r>
        <w:rPr>
          <w:rFonts w:ascii="David" w:hAnsi="David"/>
          <w:rtl/>
        </w:rPr>
        <w:t>א.           אין מקום לדחות את הממצאים העובדתיים שנקבעו בפסק הדין;</w:t>
      </w:r>
    </w:p>
    <w:p w:rsidR="00242D5E" w:rsidRDefault="00242D5E" w:rsidP="00242D5E">
      <w:pPr>
        <w:spacing w:line="360" w:lineRule="auto"/>
        <w:jc w:val="both"/>
        <w:rPr>
          <w:rFonts w:ascii="David" w:hAnsi="David"/>
          <w:rtl/>
        </w:rPr>
      </w:pPr>
    </w:p>
    <w:p w:rsidR="00242D5E" w:rsidRDefault="00242D5E" w:rsidP="00242D5E">
      <w:pPr>
        <w:spacing w:line="360" w:lineRule="auto"/>
        <w:ind w:firstLine="720"/>
        <w:jc w:val="both"/>
        <w:rPr>
          <w:rFonts w:ascii="David" w:hAnsi="David"/>
          <w:rtl/>
        </w:rPr>
      </w:pPr>
      <w:r>
        <w:rPr>
          <w:rFonts w:ascii="David" w:hAnsi="David"/>
          <w:rtl/>
        </w:rPr>
        <w:t>ב.            הממצאים שנקבעו בפסק הדין תומכים במסקנה המשפטית שנקבעה בו;</w:t>
      </w:r>
    </w:p>
    <w:p w:rsidR="00242D5E" w:rsidRDefault="00242D5E" w:rsidP="00242D5E">
      <w:pPr>
        <w:spacing w:line="360" w:lineRule="auto"/>
        <w:jc w:val="both"/>
        <w:rPr>
          <w:rFonts w:ascii="David" w:hAnsi="David"/>
          <w:rtl/>
        </w:rPr>
      </w:pPr>
    </w:p>
    <w:p w:rsidR="00242D5E" w:rsidRDefault="00242D5E" w:rsidP="00242D5E">
      <w:pPr>
        <w:spacing w:line="360" w:lineRule="auto"/>
        <w:ind w:left="720"/>
        <w:jc w:val="both"/>
        <w:rPr>
          <w:rFonts w:ascii="David" w:hAnsi="David"/>
          <w:rtl/>
        </w:rPr>
      </w:pPr>
      <w:r>
        <w:rPr>
          <w:rFonts w:ascii="David" w:hAnsi="David"/>
          <w:rtl/>
        </w:rPr>
        <w:t>ג.            אין לגלות בפסק הדין טעות שבחוק.</w:t>
      </w:r>
    </w:p>
    <w:p w:rsidR="00242D5E" w:rsidRDefault="00242D5E" w:rsidP="00242D5E">
      <w:pPr>
        <w:spacing w:line="360" w:lineRule="auto"/>
        <w:jc w:val="both"/>
        <w:rPr>
          <w:rFonts w:ascii="David" w:hAnsi="David"/>
          <w:rtl/>
        </w:rPr>
      </w:pPr>
    </w:p>
    <w:p w:rsidR="00694556" w:rsidRPr="00242D5E" w:rsidRDefault="00242D5E" w:rsidP="00242D5E">
      <w:pPr>
        <w:pStyle w:val="ad"/>
        <w:numPr>
          <w:ilvl w:val="0"/>
          <w:numId w:val="1"/>
        </w:numPr>
        <w:spacing w:line="360" w:lineRule="auto"/>
        <w:jc w:val="both"/>
        <w:rPr>
          <w:rFonts w:ascii="David" w:hAnsi="David" w:cs="David"/>
          <w:sz w:val="24"/>
          <w:szCs w:val="24"/>
          <w:rtl/>
        </w:rPr>
      </w:pPr>
      <w:r w:rsidRPr="00242D5E">
        <w:rPr>
          <w:rFonts w:ascii="David" w:hAnsi="David" w:cs="David"/>
          <w:sz w:val="24"/>
          <w:szCs w:val="24"/>
          <w:rtl/>
        </w:rPr>
        <w:t xml:space="preserve">אשר על כן, אציע לחברותיי לדחות את הערעור, ולחייב את המערער בהוצאות המשיבה בסך של 5,000 ₪. </w:t>
      </w:r>
    </w:p>
    <w:p w:rsidR="00694556" w:rsidRPr="00C770E3" w:rsidRDefault="00694556">
      <w:pPr>
        <w:spacing w:line="360" w:lineRule="auto"/>
        <w:jc w:val="both"/>
        <w:rPr>
          <w:rFonts w:ascii="Arial" w:hAnsi="Arial"/>
          <w:noProof w:val="0"/>
          <w:rtl/>
        </w:rPr>
      </w:pPr>
    </w:p>
    <w:tbl>
      <w:tblPr>
        <w:tblStyle w:val="a9"/>
        <w:tblpPr w:leftFromText="180" w:rightFromText="180" w:vertAnchor="text" w:horzAnchor="margin" w:tblpY="60"/>
        <w:bidiVisual/>
        <w:tblW w:w="2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tblGrid>
      <w:tr w:rsidR="005117E0" w:rsidTr="005117E0">
        <w:tc>
          <w:tcPr>
            <w:tcW w:w="2891" w:type="dxa"/>
            <w:vAlign w:val="center"/>
            <w:hideMark/>
          </w:tcPr>
          <w:sdt>
            <w:sdtPr>
              <w:rPr>
                <w:rFonts w:cs="Times New Roman"/>
                <w:rtl/>
              </w:rPr>
              <w:alias w:val="MergeField"/>
              <w:tag w:val="2250"/>
              <w:id w:val="1158189321"/>
            </w:sdtPr>
            <w:sdtEndPr/>
            <w:sdtContent>
              <w:p w:rsidR="005117E0" w:rsidRDefault="005117E0" w:rsidP="005117E0">
                <w:pPr>
                  <w:jc w:val="right"/>
                  <w:rPr>
                    <w:rFonts w:cs="Times New Roman"/>
                    <w:noProof w:val="0"/>
                  </w:rPr>
                </w:pPr>
                <w:r>
                  <w:drawing>
                    <wp:inline distT="0" distB="0" distL="0" distR="0" wp14:anchorId="679B94AF" wp14:editId="56A3F575">
                      <wp:extent cx="1447165" cy="1089025"/>
                      <wp:effectExtent l="0" t="0" r="635" b="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47165" cy="1089025"/>
                              </a:xfrm>
                              <a:prstGeom prst="rect">
                                <a:avLst/>
                              </a:prstGeom>
                              <a:noFill/>
                              <a:ln>
                                <a:noFill/>
                              </a:ln>
                            </pic:spPr>
                          </pic:pic>
                        </a:graphicData>
                      </a:graphic>
                    </wp:inline>
                  </w:drawing>
                </w:r>
              </w:p>
            </w:sdtContent>
          </w:sdt>
        </w:tc>
      </w:tr>
      <w:tr w:rsidR="005117E0" w:rsidTr="005117E0">
        <w:trPr>
          <w:trHeight w:val="70"/>
        </w:trPr>
        <w:tc>
          <w:tcPr>
            <w:tcW w:w="2891" w:type="dxa"/>
            <w:vAlign w:val="center"/>
            <w:hideMark/>
          </w:tcPr>
          <w:p w:rsidR="005117E0" w:rsidRDefault="009829C1" w:rsidP="005117E0">
            <w:pPr>
              <w:spacing w:line="360" w:lineRule="auto"/>
              <w:jc w:val="center"/>
              <w:rPr>
                <w:rFonts w:ascii="David" w:hAnsi="David"/>
              </w:rPr>
            </w:pPr>
            <w:sdt>
              <w:sdtPr>
                <w:rPr>
                  <w:rtl/>
                </w:rPr>
                <w:alias w:val="2235"/>
                <w:tag w:val="2235"/>
                <w:id w:val="844747161"/>
              </w:sdtPr>
              <w:sdtEndPr/>
              <w:sdtContent>
                <w:r w:rsidR="005117E0">
                  <w:rPr>
                    <w:rFonts w:ascii="David" w:hAnsi="David"/>
                    <w:rtl/>
                  </w:rPr>
                  <w:t>סארי</w:t>
                </w:r>
              </w:sdtContent>
            </w:sdt>
            <w:r w:rsidR="005117E0">
              <w:rPr>
                <w:rFonts w:hint="cs"/>
                <w:rtl/>
              </w:rPr>
              <w:t xml:space="preserve">  </w:t>
            </w:r>
            <w:sdt>
              <w:sdtPr>
                <w:rPr>
                  <w:rFonts w:cs="Times New Roman"/>
                  <w:rtl/>
                </w:rPr>
                <w:alias w:val="2240"/>
                <w:tag w:val="2240"/>
                <w:id w:val="1028607642"/>
              </w:sdtPr>
              <w:sdtEndPr/>
              <w:sdtContent>
                <w:r w:rsidR="005117E0">
                  <w:rPr>
                    <w:rtl/>
                  </w:rPr>
                  <w:t>ג'יוסי</w:t>
                </w:r>
              </w:sdtContent>
            </w:sdt>
            <w:r w:rsidR="005117E0">
              <w:rPr>
                <w:rFonts w:hint="cs"/>
                <w:rtl/>
              </w:rPr>
              <w:t xml:space="preserve">, </w:t>
            </w:r>
            <w:sdt>
              <w:sdtPr>
                <w:rPr>
                  <w:rFonts w:cs="Times New Roman"/>
                  <w:rtl/>
                </w:rPr>
                <w:alias w:val="2245"/>
                <w:tag w:val="2245"/>
                <w:id w:val="-1230532838"/>
              </w:sdtPr>
              <w:sdtEndPr/>
              <w:sdtContent>
                <w:r w:rsidR="005117E0">
                  <w:rPr>
                    <w:rtl/>
                  </w:rPr>
                  <w:t>שופט</w:t>
                </w:r>
                <w:r w:rsidR="005117E0">
                  <w:rPr>
                    <w:rFonts w:cs="Times New Roman" w:hint="cs"/>
                    <w:rtl/>
                  </w:rPr>
                  <w:t xml:space="preserve"> [אב"ד]</w:t>
                </w:r>
              </w:sdtContent>
            </w:sdt>
          </w:p>
        </w:tc>
      </w:tr>
    </w:tbl>
    <w:p w:rsidR="00694556" w:rsidRPr="00C770E3" w:rsidRDefault="00694556">
      <w:pPr>
        <w:spacing w:line="360" w:lineRule="auto"/>
        <w:jc w:val="both"/>
        <w:rPr>
          <w:rFonts w:ascii="Arial" w:hAnsi="Arial"/>
          <w:noProof w:val="0"/>
          <w:rtl/>
        </w:rPr>
      </w:pPr>
    </w:p>
    <w:p w:rsidR="005117E0" w:rsidRDefault="005117E0" w:rsidP="005117E0">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5117E0" w:rsidRDefault="005117E0">
      <w:pPr>
        <w:spacing w:line="360" w:lineRule="auto"/>
        <w:jc w:val="both"/>
        <w:rPr>
          <w:rFonts w:ascii="Arial" w:hAnsi="Arial"/>
          <w:noProof w:val="0"/>
          <w:rtl/>
        </w:rPr>
      </w:pPr>
    </w:p>
    <w:p w:rsidR="005117E0" w:rsidRDefault="005117E0">
      <w:pPr>
        <w:spacing w:line="360" w:lineRule="auto"/>
        <w:jc w:val="both"/>
        <w:rPr>
          <w:rFonts w:ascii="Arial" w:hAnsi="Arial"/>
          <w:noProof w:val="0"/>
          <w:rtl/>
        </w:rPr>
      </w:pPr>
    </w:p>
    <w:p w:rsidR="005117E0" w:rsidRDefault="005117E0">
      <w:pPr>
        <w:spacing w:line="360" w:lineRule="auto"/>
        <w:jc w:val="both"/>
        <w:rPr>
          <w:rFonts w:ascii="Arial" w:hAnsi="Arial"/>
          <w:noProof w:val="0"/>
          <w:rtl/>
        </w:rPr>
      </w:pPr>
    </w:p>
    <w:p w:rsidR="005117E0" w:rsidRDefault="005117E0">
      <w:pPr>
        <w:spacing w:line="360" w:lineRule="auto"/>
        <w:jc w:val="both"/>
        <w:rPr>
          <w:rFonts w:ascii="Arial" w:hAnsi="Arial"/>
          <w:noProof w:val="0"/>
          <w:rtl/>
        </w:rPr>
      </w:pPr>
    </w:p>
    <w:p w:rsidR="005117E0" w:rsidRDefault="005117E0">
      <w:pPr>
        <w:spacing w:line="360" w:lineRule="auto"/>
        <w:jc w:val="both"/>
        <w:rPr>
          <w:rFonts w:ascii="Arial" w:hAnsi="Arial"/>
          <w:noProof w:val="0"/>
          <w:rtl/>
        </w:rPr>
      </w:pPr>
    </w:p>
    <w:p w:rsidR="005117E0" w:rsidRPr="005117E0" w:rsidRDefault="005117E0">
      <w:pPr>
        <w:spacing w:line="360" w:lineRule="auto"/>
        <w:jc w:val="both"/>
        <w:rPr>
          <w:rFonts w:ascii="Arial" w:hAnsi="Arial"/>
          <w:b/>
          <w:bCs/>
          <w:noProof w:val="0"/>
          <w:u w:val="single"/>
          <w:rtl/>
        </w:rPr>
      </w:pPr>
      <w:r w:rsidRPr="005117E0">
        <w:rPr>
          <w:rFonts w:ascii="Arial" w:hAnsi="Arial" w:hint="cs"/>
          <w:b/>
          <w:bCs/>
          <w:noProof w:val="0"/>
          <w:u w:val="single"/>
          <w:rtl/>
        </w:rPr>
        <w:t>השופטת ע. ורבנר:</w:t>
      </w:r>
    </w:p>
    <w:p w:rsidR="005117E0" w:rsidRDefault="005117E0">
      <w:pPr>
        <w:spacing w:line="360" w:lineRule="auto"/>
        <w:jc w:val="both"/>
        <w:rPr>
          <w:rFonts w:ascii="Arial" w:hAnsi="Arial"/>
          <w:noProof w:val="0"/>
          <w:rtl/>
        </w:rPr>
      </w:pPr>
      <w:r>
        <w:rPr>
          <w:rFonts w:ascii="Arial" w:hAnsi="Arial" w:hint="cs"/>
          <w:noProof w:val="0"/>
          <w:rtl/>
        </w:rPr>
        <w:t>אני מסכימה.</w:t>
      </w:r>
    </w:p>
    <w:tbl>
      <w:tblPr>
        <w:tblStyle w:val="a9"/>
        <w:tblpPr w:leftFromText="180" w:rightFromText="180" w:vertAnchor="text" w:horzAnchor="margin" w:tblpY="-113"/>
        <w:bidiVisual/>
        <w:tblW w:w="29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76"/>
      </w:tblGrid>
      <w:tr w:rsidR="005117E0" w:rsidTr="000332EF">
        <w:tc>
          <w:tcPr>
            <w:tcW w:w="2976" w:type="dxa"/>
            <w:vAlign w:val="center"/>
            <w:hideMark/>
          </w:tcPr>
          <w:sdt>
            <w:sdtPr>
              <w:rPr>
                <w:rFonts w:cs="Times New Roman"/>
                <w:rtl/>
              </w:rPr>
              <w:alias w:val="MergeField"/>
              <w:tag w:val="2251"/>
              <w:id w:val="897253988"/>
            </w:sdtPr>
            <w:sdtEndPr/>
            <w:sdtContent>
              <w:p w:rsidR="005117E0" w:rsidRDefault="005117E0" w:rsidP="005117E0">
                <w:pPr>
                  <w:jc w:val="right"/>
                </w:pPr>
                <w:r>
                  <w:drawing>
                    <wp:inline distT="0" distB="0" distL="0" distR="0" wp14:anchorId="0465F0BF" wp14:editId="55D18F73">
                      <wp:extent cx="683895" cy="325755"/>
                      <wp:effectExtent l="0" t="0" r="1905"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83895" cy="325755"/>
                              </a:xfrm>
                              <a:prstGeom prst="rect">
                                <a:avLst/>
                              </a:prstGeom>
                              <a:noFill/>
                              <a:ln>
                                <a:noFill/>
                              </a:ln>
                            </pic:spPr>
                          </pic:pic>
                        </a:graphicData>
                      </a:graphic>
                    </wp:inline>
                  </w:drawing>
                </w:r>
              </w:p>
            </w:sdtContent>
          </w:sdt>
        </w:tc>
      </w:tr>
      <w:tr w:rsidR="005117E0" w:rsidTr="000332EF">
        <w:trPr>
          <w:trHeight w:val="70"/>
        </w:trPr>
        <w:tc>
          <w:tcPr>
            <w:tcW w:w="2976" w:type="dxa"/>
            <w:vAlign w:val="center"/>
            <w:hideMark/>
          </w:tcPr>
          <w:p w:rsidR="005117E0" w:rsidRDefault="009829C1" w:rsidP="005117E0">
            <w:pPr>
              <w:spacing w:line="360" w:lineRule="auto"/>
              <w:jc w:val="center"/>
              <w:rPr>
                <w:rFonts w:ascii="David" w:hAnsi="David"/>
                <w:rtl/>
              </w:rPr>
            </w:pPr>
            <w:sdt>
              <w:sdtPr>
                <w:rPr>
                  <w:rtl/>
                </w:rPr>
                <w:alias w:val="2236"/>
                <w:tag w:val="2236"/>
                <w:id w:val="-2102175147"/>
              </w:sdtPr>
              <w:sdtEndPr/>
              <w:sdtContent>
                <w:r w:rsidR="005117E0">
                  <w:rPr>
                    <w:rFonts w:ascii="David" w:hAnsi="David"/>
                    <w:rtl/>
                  </w:rPr>
                  <w:t>עפרה</w:t>
                </w:r>
              </w:sdtContent>
            </w:sdt>
            <w:r w:rsidR="005117E0">
              <w:rPr>
                <w:rFonts w:hint="cs"/>
                <w:rtl/>
              </w:rPr>
              <w:t xml:space="preserve"> </w:t>
            </w:r>
            <w:sdt>
              <w:sdtPr>
                <w:rPr>
                  <w:rFonts w:cs="Times New Roman"/>
                  <w:rtl/>
                </w:rPr>
                <w:alias w:val="2241"/>
                <w:tag w:val="2241"/>
                <w:id w:val="-1267300610"/>
              </w:sdtPr>
              <w:sdtEndPr/>
              <w:sdtContent>
                <w:r w:rsidR="005117E0">
                  <w:rPr>
                    <w:rtl/>
                  </w:rPr>
                  <w:t>ורבנר</w:t>
                </w:r>
              </w:sdtContent>
            </w:sdt>
            <w:r w:rsidR="005117E0">
              <w:rPr>
                <w:rFonts w:hint="cs"/>
                <w:rtl/>
              </w:rPr>
              <w:t xml:space="preserve">, </w:t>
            </w:r>
            <w:sdt>
              <w:sdtPr>
                <w:rPr>
                  <w:rFonts w:cs="Times New Roman"/>
                  <w:rtl/>
                </w:rPr>
                <w:alias w:val="2246"/>
                <w:tag w:val="2246"/>
                <w:id w:val="490841173"/>
              </w:sdtPr>
              <w:sdtEndPr/>
              <w:sdtContent>
                <w:r w:rsidR="005117E0">
                  <w:rPr>
                    <w:rtl/>
                  </w:rPr>
                  <w:t>שופטת</w:t>
                </w:r>
              </w:sdtContent>
            </w:sdt>
          </w:p>
        </w:tc>
      </w:tr>
    </w:tbl>
    <w:p w:rsidR="005117E0" w:rsidRDefault="005117E0">
      <w:pPr>
        <w:spacing w:line="360" w:lineRule="auto"/>
        <w:jc w:val="both"/>
        <w:rPr>
          <w:rFonts w:ascii="Arial" w:hAnsi="Arial"/>
          <w:noProof w:val="0"/>
          <w:rtl/>
        </w:rPr>
      </w:pPr>
    </w:p>
    <w:p w:rsidR="005117E0" w:rsidRDefault="005117E0">
      <w:pPr>
        <w:spacing w:line="360" w:lineRule="auto"/>
        <w:jc w:val="both"/>
        <w:rPr>
          <w:rFonts w:ascii="Arial" w:hAnsi="Arial"/>
          <w:noProof w:val="0"/>
          <w:rtl/>
        </w:rPr>
      </w:pPr>
    </w:p>
    <w:p w:rsidR="005117E0" w:rsidRDefault="005117E0">
      <w:pPr>
        <w:spacing w:line="360" w:lineRule="auto"/>
        <w:jc w:val="both"/>
        <w:rPr>
          <w:rFonts w:ascii="Arial" w:hAnsi="Arial"/>
          <w:noProof w:val="0"/>
          <w:rtl/>
        </w:rPr>
      </w:pPr>
    </w:p>
    <w:p w:rsidR="005117E0" w:rsidRDefault="005117E0">
      <w:pPr>
        <w:spacing w:line="360" w:lineRule="auto"/>
        <w:jc w:val="both"/>
        <w:rPr>
          <w:rFonts w:ascii="Arial" w:hAnsi="Arial"/>
          <w:noProof w:val="0"/>
          <w:rtl/>
        </w:rPr>
      </w:pPr>
    </w:p>
    <w:p w:rsidR="005117E0" w:rsidRPr="005117E0" w:rsidRDefault="005117E0">
      <w:pPr>
        <w:spacing w:line="360" w:lineRule="auto"/>
        <w:jc w:val="both"/>
        <w:rPr>
          <w:rFonts w:ascii="Arial" w:hAnsi="Arial"/>
          <w:b/>
          <w:bCs/>
          <w:noProof w:val="0"/>
          <w:u w:val="single"/>
          <w:rtl/>
        </w:rPr>
      </w:pPr>
    </w:p>
    <w:p w:rsidR="005117E0" w:rsidRPr="005117E0" w:rsidRDefault="005117E0">
      <w:pPr>
        <w:spacing w:line="360" w:lineRule="auto"/>
        <w:jc w:val="both"/>
        <w:rPr>
          <w:rFonts w:ascii="Arial" w:hAnsi="Arial"/>
          <w:b/>
          <w:bCs/>
          <w:noProof w:val="0"/>
          <w:u w:val="single"/>
          <w:rtl/>
        </w:rPr>
      </w:pPr>
      <w:r w:rsidRPr="005117E0">
        <w:rPr>
          <w:rFonts w:ascii="Arial" w:hAnsi="Arial" w:hint="cs"/>
          <w:b/>
          <w:bCs/>
          <w:noProof w:val="0"/>
          <w:u w:val="single"/>
          <w:rtl/>
        </w:rPr>
        <w:t>השופטת ע. אטיאס:</w:t>
      </w:r>
    </w:p>
    <w:p w:rsidR="005117E0" w:rsidRDefault="005117E0">
      <w:pPr>
        <w:spacing w:line="360" w:lineRule="auto"/>
        <w:jc w:val="both"/>
        <w:rPr>
          <w:rFonts w:ascii="Arial" w:hAnsi="Arial"/>
          <w:noProof w:val="0"/>
          <w:rtl/>
        </w:rPr>
      </w:pPr>
      <w:r>
        <w:rPr>
          <w:rFonts w:ascii="Arial" w:hAnsi="Arial" w:hint="cs"/>
          <w:noProof w:val="0"/>
          <w:rtl/>
        </w:rPr>
        <w:t>אני מסכימה.</w:t>
      </w:r>
    </w:p>
    <w:p w:rsidR="005117E0" w:rsidRDefault="005117E0">
      <w:pPr>
        <w:spacing w:line="360" w:lineRule="auto"/>
        <w:jc w:val="both"/>
        <w:rPr>
          <w:rFonts w:ascii="Arial" w:hAnsi="Arial"/>
          <w:noProof w:val="0"/>
          <w:rtl/>
        </w:rPr>
      </w:pPr>
    </w:p>
    <w:tbl>
      <w:tblPr>
        <w:tblStyle w:val="a9"/>
        <w:tblpPr w:leftFromText="180" w:rightFromText="180" w:vertAnchor="text" w:horzAnchor="margin" w:tblpY="35"/>
        <w:bidiVisual/>
        <w:tblW w:w="2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tblGrid>
      <w:tr w:rsidR="005117E0" w:rsidTr="005117E0">
        <w:tc>
          <w:tcPr>
            <w:tcW w:w="2891" w:type="dxa"/>
            <w:vAlign w:val="center"/>
            <w:hideMark/>
          </w:tcPr>
          <w:sdt>
            <w:sdtPr>
              <w:rPr>
                <w:rFonts w:cs="Times New Roman"/>
                <w:rtl/>
              </w:rPr>
              <w:alias w:val="MergeField"/>
              <w:tag w:val="2252"/>
              <w:id w:val="2107304139"/>
            </w:sdtPr>
            <w:sdtEndPr/>
            <w:sdtContent>
              <w:p w:rsidR="005117E0" w:rsidRDefault="005117E0" w:rsidP="005117E0">
                <w:pPr>
                  <w:jc w:val="right"/>
                </w:pPr>
                <w:r>
                  <w:drawing>
                    <wp:inline distT="0" distB="0" distL="0" distR="0" wp14:anchorId="187FB4F9" wp14:editId="764E642F">
                      <wp:extent cx="628015" cy="954405"/>
                      <wp:effectExtent l="0" t="0" r="635" b="0"/>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8015" cy="954405"/>
                              </a:xfrm>
                              <a:prstGeom prst="rect">
                                <a:avLst/>
                              </a:prstGeom>
                              <a:noFill/>
                              <a:ln>
                                <a:noFill/>
                              </a:ln>
                            </pic:spPr>
                          </pic:pic>
                        </a:graphicData>
                      </a:graphic>
                    </wp:inline>
                  </w:drawing>
                </w:r>
              </w:p>
            </w:sdtContent>
          </w:sdt>
        </w:tc>
      </w:tr>
      <w:tr w:rsidR="005117E0" w:rsidTr="005117E0">
        <w:trPr>
          <w:trHeight w:val="70"/>
        </w:trPr>
        <w:tc>
          <w:tcPr>
            <w:tcW w:w="2891" w:type="dxa"/>
            <w:vAlign w:val="center"/>
            <w:hideMark/>
          </w:tcPr>
          <w:p w:rsidR="005117E0" w:rsidRDefault="009829C1" w:rsidP="005117E0">
            <w:pPr>
              <w:spacing w:line="360" w:lineRule="auto"/>
              <w:jc w:val="center"/>
              <w:rPr>
                <w:rFonts w:ascii="David" w:hAnsi="David"/>
                <w:rtl/>
              </w:rPr>
            </w:pPr>
            <w:sdt>
              <w:sdtPr>
                <w:rPr>
                  <w:rtl/>
                </w:rPr>
                <w:alias w:val="2237"/>
                <w:tag w:val="2237"/>
                <w:id w:val="254872863"/>
              </w:sdtPr>
              <w:sdtEndPr/>
              <w:sdtContent>
                <w:r w:rsidR="005117E0">
                  <w:rPr>
                    <w:rFonts w:ascii="David" w:hAnsi="David"/>
                    <w:rtl/>
                  </w:rPr>
                  <w:t>עפרה</w:t>
                </w:r>
              </w:sdtContent>
            </w:sdt>
            <w:r w:rsidR="005117E0">
              <w:rPr>
                <w:rFonts w:hint="cs"/>
                <w:rtl/>
              </w:rPr>
              <w:t xml:space="preserve"> </w:t>
            </w:r>
            <w:sdt>
              <w:sdtPr>
                <w:rPr>
                  <w:rFonts w:cs="Times New Roman"/>
                  <w:rtl/>
                </w:rPr>
                <w:alias w:val="2242"/>
                <w:tag w:val="2242"/>
                <w:id w:val="-1414159036"/>
              </w:sdtPr>
              <w:sdtEndPr/>
              <w:sdtContent>
                <w:r w:rsidR="005117E0">
                  <w:rPr>
                    <w:rtl/>
                  </w:rPr>
                  <w:t>אטיאס</w:t>
                </w:r>
              </w:sdtContent>
            </w:sdt>
            <w:r w:rsidR="005117E0">
              <w:rPr>
                <w:rFonts w:hint="cs"/>
                <w:rtl/>
              </w:rPr>
              <w:t xml:space="preserve">, </w:t>
            </w:r>
            <w:sdt>
              <w:sdtPr>
                <w:rPr>
                  <w:rFonts w:cs="Times New Roman"/>
                  <w:rtl/>
                </w:rPr>
                <w:alias w:val="2247"/>
                <w:tag w:val="2247"/>
                <w:id w:val="1955591425"/>
              </w:sdtPr>
              <w:sdtEndPr/>
              <w:sdtContent>
                <w:r w:rsidR="005117E0">
                  <w:rPr>
                    <w:rtl/>
                  </w:rPr>
                  <w:t>שופטת</w:t>
                </w:r>
              </w:sdtContent>
            </w:sdt>
          </w:p>
        </w:tc>
      </w:tr>
    </w:tbl>
    <w:p w:rsidR="005117E0" w:rsidRDefault="005117E0" w:rsidP="005117E0">
      <w:pPr>
        <w:spacing w:line="360" w:lineRule="auto"/>
        <w:jc w:val="both"/>
        <w:rPr>
          <w:rFonts w:ascii="Arial" w:hAnsi="Arial"/>
          <w:noProof w:val="0"/>
          <w:rtl/>
        </w:rPr>
      </w:pPr>
    </w:p>
    <w:p w:rsidR="005117E0" w:rsidRDefault="005117E0" w:rsidP="005117E0">
      <w:pPr>
        <w:spacing w:line="360" w:lineRule="auto"/>
        <w:jc w:val="both"/>
        <w:rPr>
          <w:rFonts w:ascii="Arial" w:hAnsi="Arial"/>
          <w:noProof w:val="0"/>
          <w:rtl/>
        </w:rPr>
      </w:pPr>
    </w:p>
    <w:p w:rsidR="005117E0" w:rsidRDefault="005117E0" w:rsidP="005117E0">
      <w:pPr>
        <w:spacing w:line="360" w:lineRule="auto"/>
        <w:jc w:val="both"/>
        <w:rPr>
          <w:rFonts w:ascii="Arial" w:hAnsi="Arial"/>
          <w:noProof w:val="0"/>
          <w:rtl/>
        </w:rPr>
      </w:pPr>
    </w:p>
    <w:p w:rsidR="005117E0" w:rsidRDefault="005117E0" w:rsidP="005117E0">
      <w:pPr>
        <w:spacing w:line="360" w:lineRule="auto"/>
        <w:jc w:val="both"/>
        <w:rPr>
          <w:rFonts w:ascii="Arial" w:hAnsi="Arial"/>
          <w:noProof w:val="0"/>
          <w:rtl/>
        </w:rPr>
      </w:pPr>
    </w:p>
    <w:p w:rsidR="005117E0" w:rsidRDefault="005117E0" w:rsidP="005117E0">
      <w:pPr>
        <w:spacing w:line="360" w:lineRule="auto"/>
        <w:jc w:val="both"/>
        <w:rPr>
          <w:rFonts w:ascii="Arial" w:hAnsi="Arial"/>
          <w:noProof w:val="0"/>
          <w:rtl/>
        </w:rPr>
      </w:pPr>
    </w:p>
    <w:p w:rsidR="005117E0" w:rsidRDefault="005117E0" w:rsidP="005117E0">
      <w:pPr>
        <w:spacing w:line="360" w:lineRule="auto"/>
        <w:jc w:val="both"/>
        <w:rPr>
          <w:rFonts w:ascii="Arial" w:hAnsi="Arial"/>
          <w:noProof w:val="0"/>
          <w:rtl/>
        </w:rPr>
      </w:pPr>
    </w:p>
    <w:p w:rsidR="005117E0" w:rsidRDefault="005117E0" w:rsidP="005117E0">
      <w:pPr>
        <w:spacing w:line="360" w:lineRule="auto"/>
        <w:jc w:val="both"/>
        <w:rPr>
          <w:rFonts w:ascii="Arial" w:hAnsi="Arial"/>
          <w:noProof w:val="0"/>
          <w:rtl/>
        </w:rPr>
      </w:pPr>
    </w:p>
    <w:p w:rsidR="005117E0" w:rsidRDefault="005117E0" w:rsidP="005117E0">
      <w:pPr>
        <w:spacing w:line="360" w:lineRule="auto"/>
        <w:jc w:val="both"/>
        <w:rPr>
          <w:rFonts w:ascii="Arial" w:hAnsi="Arial"/>
          <w:noProof w:val="0"/>
          <w:rtl/>
        </w:rPr>
      </w:pPr>
    </w:p>
    <w:p w:rsidR="005117E0" w:rsidRDefault="005117E0" w:rsidP="005117E0">
      <w:pPr>
        <w:spacing w:line="360" w:lineRule="auto"/>
        <w:jc w:val="both"/>
        <w:rPr>
          <w:rFonts w:ascii="Arial" w:hAnsi="Arial"/>
          <w:noProof w:val="0"/>
          <w:rtl/>
        </w:rPr>
      </w:pPr>
      <w:r>
        <w:rPr>
          <w:rFonts w:ascii="Arial" w:hAnsi="Arial" w:hint="cs"/>
          <w:noProof w:val="0"/>
          <w:rtl/>
        </w:rPr>
        <w:t>הוחלט כאמור בפסק דינו של האב"ד השופט ס. ג'יוסי.</w:t>
      </w:r>
    </w:p>
    <w:p w:rsidR="005117E0" w:rsidRDefault="005117E0" w:rsidP="005117E0">
      <w:pPr>
        <w:spacing w:line="360" w:lineRule="auto"/>
        <w:jc w:val="both"/>
        <w:rPr>
          <w:rFonts w:ascii="Arial" w:hAnsi="Arial"/>
          <w:noProof w:val="0"/>
          <w:rtl/>
        </w:rPr>
      </w:pPr>
      <w:r>
        <w:rPr>
          <w:rFonts w:ascii="Arial" w:hAnsi="Arial" w:hint="cs"/>
          <w:noProof w:val="0"/>
          <w:rtl/>
        </w:rPr>
        <w:t>מתוך העירבון שהפקיד המערער, תעביר המזכירות לב"כ המשיבה את הסך של 5,000 ₪, בגין ההוצאות שנפסקו לטובתה. היתרה תוחזר לידי ב"כ המערער, עבור המערער.</w:t>
      </w:r>
    </w:p>
    <w:p w:rsidR="005117E0" w:rsidRDefault="005117E0" w:rsidP="005117E0">
      <w:pPr>
        <w:spacing w:line="360" w:lineRule="auto"/>
        <w:jc w:val="both"/>
        <w:rPr>
          <w:rFonts w:ascii="Arial" w:hAnsi="Arial"/>
          <w:noProof w:val="0"/>
          <w:rtl/>
        </w:rPr>
      </w:pPr>
    </w:p>
    <w:p w:rsidR="005117E0" w:rsidRDefault="005117E0" w:rsidP="005117E0">
      <w:pPr>
        <w:spacing w:line="360" w:lineRule="auto"/>
        <w:jc w:val="both"/>
        <w:rPr>
          <w:rFonts w:ascii="Arial" w:hAnsi="Arial"/>
          <w:noProof w:val="0"/>
          <w:rtl/>
        </w:rPr>
      </w:pPr>
      <w:r>
        <w:rPr>
          <w:rFonts w:ascii="Arial" w:hAnsi="Arial" w:hint="cs"/>
          <w:noProof w:val="0"/>
          <w:rtl/>
        </w:rPr>
        <w:t>פסק הדין מותר לפרסום לאחר מחיקת שמות הצדדים והשמטת פרטים מזהים.</w:t>
      </w:r>
    </w:p>
    <w:p w:rsidR="005117E0" w:rsidRPr="00C770E3" w:rsidRDefault="005117E0" w:rsidP="005117E0">
      <w:pPr>
        <w:spacing w:line="360" w:lineRule="auto"/>
        <w:jc w:val="both"/>
        <w:rPr>
          <w:rFonts w:ascii="Arial" w:hAnsi="Arial"/>
          <w:noProof w:val="0"/>
          <w:rtl/>
        </w:rPr>
      </w:pPr>
    </w:p>
    <w:p w:rsidR="005117E0" w:rsidRDefault="005117E0" w:rsidP="005117E0">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אב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אוגוסט 2023</w:t>
          </w:r>
        </w:sdtContent>
      </w:sdt>
      <w:r>
        <w:rPr>
          <w:rFonts w:ascii="Arial" w:hAnsi="Arial"/>
          <w:noProof w:val="0"/>
          <w:rtl/>
        </w:rPr>
        <w:t>, בהעדר הצדדים.</w:t>
      </w:r>
    </w:p>
    <w:p w:rsidR="005117E0" w:rsidRDefault="009829C1" w:rsidP="005117E0">
      <w:pPr>
        <w:spacing w:line="360" w:lineRule="auto"/>
        <w:jc w:val="both"/>
        <w:rPr>
          <w:rFonts w:ascii="Arial" w:hAnsi="Arial"/>
          <w:noProof w:val="0"/>
          <w:rtl/>
        </w:rPr>
      </w:pPr>
      <w:sdt>
        <w:sdtPr>
          <w:rPr>
            <w:rFonts w:hint="cs"/>
            <w:rtl/>
          </w:rPr>
          <w:alias w:val="2045"/>
          <w:tag w:val="2045"/>
          <w:id w:val="740689340"/>
          <w:placeholder>
            <w:docPart w:val="1D0067BF1153442EB8D9C4716E3479B7"/>
          </w:placeholder>
          <w:showingPlcHdr/>
          <w:text w:multiLine="1"/>
        </w:sdtPr>
        <w:sdtEndPr/>
        <w:sdtContent>
          <w:r w:rsidR="005117E0">
            <w:rPr>
              <w:rFonts w:hint="cs"/>
              <w:rtl/>
            </w:rPr>
            <w:t xml:space="preserve">     </w:t>
          </w:r>
        </w:sdtContent>
      </w:sdt>
    </w:p>
    <w:tbl>
      <w:tblPr>
        <w:tblStyle w:val="a9"/>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5117E0" w:rsidTr="005117E0">
        <w:tc>
          <w:tcPr>
            <w:tcW w:w="2891" w:type="dxa"/>
            <w:vAlign w:val="center"/>
            <w:hideMark/>
          </w:tcPr>
          <w:sdt>
            <w:sdtPr>
              <w:rPr>
                <w:rFonts w:cs="Times New Roman"/>
                <w:rtl/>
              </w:rPr>
              <w:alias w:val="MergeField"/>
              <w:tag w:val="2250"/>
              <w:id w:val="-1912068933"/>
            </w:sdtPr>
            <w:sdtEndPr/>
            <w:sdtContent>
              <w:p w:rsidR="005117E0" w:rsidRDefault="005117E0" w:rsidP="00326569">
                <w:pPr>
                  <w:jc w:val="right"/>
                  <w:rPr>
                    <w:rFonts w:cs="Times New Roman"/>
                    <w:noProof w:val="0"/>
                  </w:rPr>
                </w:pPr>
                <w:r>
                  <w:drawing>
                    <wp:inline distT="0" distB="0" distL="0" distR="0">
                      <wp:extent cx="1447165" cy="1089025"/>
                      <wp:effectExtent l="0" t="0" r="63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47165" cy="1089025"/>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1"/>
              <w:id w:val="1724333403"/>
            </w:sdtPr>
            <w:sdtEndPr/>
            <w:sdtContent>
              <w:p w:rsidR="005117E0" w:rsidRDefault="005117E0" w:rsidP="00326569">
                <w:pPr>
                  <w:jc w:val="right"/>
                </w:pPr>
                <w:r>
                  <w:drawing>
                    <wp:inline distT="0" distB="0" distL="0" distR="0">
                      <wp:extent cx="683895" cy="325755"/>
                      <wp:effectExtent l="0" t="0" r="190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83895" cy="325755"/>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2"/>
              <w:id w:val="504861670"/>
            </w:sdtPr>
            <w:sdtEndPr/>
            <w:sdtContent>
              <w:p w:rsidR="005117E0" w:rsidRDefault="005117E0" w:rsidP="00326569">
                <w:pPr>
                  <w:jc w:val="right"/>
                </w:pPr>
                <w:r>
                  <w:drawing>
                    <wp:inline distT="0" distB="0" distL="0" distR="0">
                      <wp:extent cx="628015" cy="954405"/>
                      <wp:effectExtent l="0" t="0" r="63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8015" cy="954405"/>
                              </a:xfrm>
                              <a:prstGeom prst="rect">
                                <a:avLst/>
                              </a:prstGeom>
                              <a:noFill/>
                              <a:ln>
                                <a:noFill/>
                              </a:ln>
                            </pic:spPr>
                          </pic:pic>
                        </a:graphicData>
                      </a:graphic>
                    </wp:inline>
                  </w:drawing>
                </w:r>
              </w:p>
            </w:sdtContent>
          </w:sdt>
        </w:tc>
      </w:tr>
      <w:tr w:rsidR="005117E0" w:rsidTr="005117E0">
        <w:trPr>
          <w:trHeight w:val="70"/>
        </w:trPr>
        <w:tc>
          <w:tcPr>
            <w:tcW w:w="2891" w:type="dxa"/>
            <w:vAlign w:val="center"/>
            <w:hideMark/>
          </w:tcPr>
          <w:p w:rsidR="005117E0" w:rsidRDefault="009829C1" w:rsidP="00326569">
            <w:pPr>
              <w:spacing w:line="360" w:lineRule="auto"/>
              <w:jc w:val="center"/>
              <w:rPr>
                <w:rFonts w:ascii="David" w:hAnsi="David"/>
              </w:rPr>
            </w:pPr>
            <w:sdt>
              <w:sdtPr>
                <w:rPr>
                  <w:rtl/>
                </w:rPr>
                <w:alias w:val="2235"/>
                <w:tag w:val="2235"/>
                <w:id w:val="1100069598"/>
              </w:sdtPr>
              <w:sdtEndPr/>
              <w:sdtContent>
                <w:r w:rsidR="005117E0">
                  <w:rPr>
                    <w:rFonts w:ascii="David" w:hAnsi="David"/>
                    <w:rtl/>
                  </w:rPr>
                  <w:t>סארי</w:t>
                </w:r>
              </w:sdtContent>
            </w:sdt>
            <w:r w:rsidR="005117E0">
              <w:rPr>
                <w:rFonts w:hint="cs"/>
                <w:rtl/>
              </w:rPr>
              <w:t xml:space="preserve">  </w:t>
            </w:r>
            <w:sdt>
              <w:sdtPr>
                <w:rPr>
                  <w:rFonts w:cs="Times New Roman"/>
                  <w:rtl/>
                </w:rPr>
                <w:alias w:val="2240"/>
                <w:tag w:val="2240"/>
                <w:id w:val="825638415"/>
              </w:sdtPr>
              <w:sdtEndPr/>
              <w:sdtContent>
                <w:r w:rsidR="005117E0">
                  <w:rPr>
                    <w:rtl/>
                  </w:rPr>
                  <w:t>ג'יוסי</w:t>
                </w:r>
              </w:sdtContent>
            </w:sdt>
            <w:r w:rsidR="005117E0">
              <w:rPr>
                <w:rFonts w:hint="cs"/>
                <w:rtl/>
              </w:rPr>
              <w:t xml:space="preserve">, </w:t>
            </w:r>
            <w:sdt>
              <w:sdtPr>
                <w:rPr>
                  <w:rFonts w:cs="Times New Roman"/>
                  <w:rtl/>
                </w:rPr>
                <w:alias w:val="2245"/>
                <w:tag w:val="2245"/>
                <w:id w:val="533847746"/>
              </w:sdtPr>
              <w:sdtEndPr/>
              <w:sdtContent>
                <w:r w:rsidR="005117E0">
                  <w:rPr>
                    <w:rtl/>
                  </w:rPr>
                  <w:t>שופט</w:t>
                </w:r>
                <w:r w:rsidR="005117E0">
                  <w:rPr>
                    <w:rFonts w:cs="Times New Roman" w:hint="cs"/>
                    <w:rtl/>
                  </w:rPr>
                  <w:t xml:space="preserve"> [אב"ד]</w:t>
                </w:r>
              </w:sdtContent>
            </w:sdt>
          </w:p>
        </w:tc>
        <w:tc>
          <w:tcPr>
            <w:tcW w:w="2891" w:type="dxa"/>
            <w:vAlign w:val="center"/>
            <w:hideMark/>
          </w:tcPr>
          <w:p w:rsidR="005117E0" w:rsidRDefault="009829C1" w:rsidP="00326569">
            <w:pPr>
              <w:spacing w:line="360" w:lineRule="auto"/>
              <w:jc w:val="center"/>
              <w:rPr>
                <w:rFonts w:ascii="David" w:hAnsi="David"/>
                <w:rtl/>
              </w:rPr>
            </w:pPr>
            <w:sdt>
              <w:sdtPr>
                <w:rPr>
                  <w:rtl/>
                </w:rPr>
                <w:alias w:val="2236"/>
                <w:tag w:val="2236"/>
                <w:id w:val="639300144"/>
              </w:sdtPr>
              <w:sdtEndPr/>
              <w:sdtContent>
                <w:r w:rsidR="005117E0">
                  <w:rPr>
                    <w:rFonts w:ascii="David" w:hAnsi="David"/>
                    <w:rtl/>
                  </w:rPr>
                  <w:t>עפרה</w:t>
                </w:r>
              </w:sdtContent>
            </w:sdt>
            <w:r w:rsidR="005117E0">
              <w:rPr>
                <w:rFonts w:hint="cs"/>
                <w:rtl/>
              </w:rPr>
              <w:t xml:space="preserve"> </w:t>
            </w:r>
            <w:sdt>
              <w:sdtPr>
                <w:rPr>
                  <w:rFonts w:cs="Times New Roman"/>
                  <w:rtl/>
                </w:rPr>
                <w:alias w:val="2241"/>
                <w:tag w:val="2241"/>
                <w:id w:val="-2097088705"/>
              </w:sdtPr>
              <w:sdtEndPr/>
              <w:sdtContent>
                <w:r w:rsidR="005117E0">
                  <w:rPr>
                    <w:rtl/>
                  </w:rPr>
                  <w:t>ורבנר</w:t>
                </w:r>
              </w:sdtContent>
            </w:sdt>
            <w:r w:rsidR="005117E0">
              <w:rPr>
                <w:rFonts w:hint="cs"/>
                <w:rtl/>
              </w:rPr>
              <w:t xml:space="preserve">, </w:t>
            </w:r>
            <w:sdt>
              <w:sdtPr>
                <w:rPr>
                  <w:rFonts w:cs="Times New Roman"/>
                  <w:rtl/>
                </w:rPr>
                <w:alias w:val="2246"/>
                <w:tag w:val="2246"/>
                <w:id w:val="-1989393221"/>
              </w:sdtPr>
              <w:sdtEndPr/>
              <w:sdtContent>
                <w:r w:rsidR="005117E0">
                  <w:rPr>
                    <w:rtl/>
                  </w:rPr>
                  <w:t>שופטת</w:t>
                </w:r>
              </w:sdtContent>
            </w:sdt>
          </w:p>
        </w:tc>
        <w:tc>
          <w:tcPr>
            <w:tcW w:w="2891" w:type="dxa"/>
            <w:vAlign w:val="center"/>
            <w:hideMark/>
          </w:tcPr>
          <w:p w:rsidR="005117E0" w:rsidRDefault="009829C1" w:rsidP="00326569">
            <w:pPr>
              <w:spacing w:line="360" w:lineRule="auto"/>
              <w:jc w:val="center"/>
              <w:rPr>
                <w:rFonts w:ascii="David" w:hAnsi="David"/>
                <w:rtl/>
              </w:rPr>
            </w:pPr>
            <w:sdt>
              <w:sdtPr>
                <w:rPr>
                  <w:rtl/>
                </w:rPr>
                <w:alias w:val="2237"/>
                <w:tag w:val="2237"/>
                <w:id w:val="-31890643"/>
              </w:sdtPr>
              <w:sdtEndPr/>
              <w:sdtContent>
                <w:r w:rsidR="005117E0">
                  <w:rPr>
                    <w:rFonts w:ascii="David" w:hAnsi="David"/>
                    <w:rtl/>
                  </w:rPr>
                  <w:t>עפרה</w:t>
                </w:r>
              </w:sdtContent>
            </w:sdt>
            <w:r w:rsidR="005117E0">
              <w:rPr>
                <w:rFonts w:hint="cs"/>
                <w:rtl/>
              </w:rPr>
              <w:t xml:space="preserve"> </w:t>
            </w:r>
            <w:sdt>
              <w:sdtPr>
                <w:rPr>
                  <w:rFonts w:cs="Times New Roman"/>
                  <w:rtl/>
                </w:rPr>
                <w:alias w:val="2242"/>
                <w:tag w:val="2242"/>
                <w:id w:val="358854881"/>
              </w:sdtPr>
              <w:sdtEndPr/>
              <w:sdtContent>
                <w:r w:rsidR="005117E0">
                  <w:rPr>
                    <w:rtl/>
                  </w:rPr>
                  <w:t>אטיאס</w:t>
                </w:r>
              </w:sdtContent>
            </w:sdt>
            <w:r w:rsidR="005117E0">
              <w:rPr>
                <w:rFonts w:hint="cs"/>
                <w:rtl/>
              </w:rPr>
              <w:t xml:space="preserve">, </w:t>
            </w:r>
            <w:sdt>
              <w:sdtPr>
                <w:rPr>
                  <w:rFonts w:cs="Times New Roman"/>
                  <w:rtl/>
                </w:rPr>
                <w:alias w:val="2247"/>
                <w:tag w:val="2247"/>
                <w:id w:val="243227774"/>
              </w:sdtPr>
              <w:sdtEndPr/>
              <w:sdtContent>
                <w:r w:rsidR="005117E0">
                  <w:rPr>
                    <w:rtl/>
                  </w:rPr>
                  <w:t>שופטת</w:t>
                </w:r>
              </w:sdtContent>
            </w:sdt>
          </w:p>
        </w:tc>
      </w:tr>
    </w:tbl>
    <w:p w:rsidR="005117E0" w:rsidRDefault="005117E0">
      <w:pPr>
        <w:spacing w:line="360" w:lineRule="auto"/>
        <w:jc w:val="both"/>
        <w:rPr>
          <w:rFonts w:ascii="Arial" w:hAnsi="Arial"/>
          <w:noProof w:val="0"/>
          <w:rtl/>
        </w:rPr>
      </w:pPr>
    </w:p>
    <w:p w:rsidR="005117E0" w:rsidRDefault="005117E0">
      <w:pPr>
        <w:spacing w:line="360" w:lineRule="auto"/>
        <w:jc w:val="both"/>
        <w:rPr>
          <w:rFonts w:ascii="Arial" w:hAnsi="Arial"/>
          <w:noProof w:val="0"/>
          <w:rtl/>
        </w:rPr>
      </w:pPr>
    </w:p>
    <w:p w:rsidR="00C43648" w:rsidRDefault="00C43648" w:rsidP="00BD6531">
      <w:pPr>
        <w:tabs>
          <w:tab w:val="left" w:pos="2553"/>
        </w:tabs>
        <w:ind w:left="5040"/>
        <w:rPr>
          <w:rtl/>
        </w:rPr>
      </w:pPr>
    </w:p>
    <w:p w:rsidR="00694556" w:rsidRDefault="00BD6531" w:rsidP="000332EF">
      <w:pPr>
        <w:tabs>
          <w:tab w:val="left" w:pos="2553"/>
        </w:tabs>
      </w:pPr>
      <w:r>
        <w:rPr>
          <w:rFonts w:hint="cs"/>
          <w:rtl/>
        </w:rPr>
        <w:tab/>
      </w:r>
      <w:r>
        <w:rPr>
          <w:rFonts w:hint="cs"/>
          <w:rtl/>
        </w:rPr>
        <w:tab/>
      </w:r>
    </w:p>
    <w:p w:rsidR="00694556" w:rsidRDefault="00694556" w:rsidP="00242D5E">
      <w:pPr>
        <w:tabs>
          <w:tab w:val="left" w:pos="2553"/>
        </w:tabs>
        <w:rPr>
          <w:rFonts w:ascii="Arial" w:hAnsi="Arial"/>
          <w:noProof w:val="0"/>
          <w:rtl/>
        </w:rPr>
      </w:pPr>
    </w:p>
    <w:sectPr w:rsidR="00694556" w:rsidSect="00891F42">
      <w:headerReference w:type="even" r:id="rId26"/>
      <w:headerReference w:type="default" r:id="rId27"/>
      <w:footerReference w:type="even" r:id="rId28"/>
      <w:footerReference w:type="default" r:id="rId29"/>
      <w:headerReference w:type="first" r:id="rId30"/>
      <w:footerReference w:type="first" r:id="rId31"/>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9C1" w:rsidRDefault="009829C1">
      <w:r>
        <w:separator/>
      </w:r>
    </w:p>
  </w:endnote>
  <w:endnote w:type="continuationSeparator" w:id="0">
    <w:p w:rsidR="009829C1" w:rsidRDefault="00982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278" w:rsidRDefault="00FA627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07BF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07BF7">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278" w:rsidRDefault="00FA627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9C1" w:rsidRDefault="009829C1">
      <w:r>
        <w:separator/>
      </w:r>
    </w:p>
  </w:footnote>
  <w:footnote w:type="continuationSeparator" w:id="0">
    <w:p w:rsidR="009829C1" w:rsidRDefault="00982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278" w:rsidRDefault="00FA627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829C1"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41380-10-22</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1209B4">
                <w:rPr>
                  <w:b/>
                  <w:bCs/>
                  <w:noProof w:val="0"/>
                  <w:sz w:val="26"/>
                  <w:szCs w:val="26"/>
                  <w:rtl/>
                </w:rPr>
                <w:t>א</w:t>
              </w:r>
              <w:r w:rsidR="001209B4">
                <w:rPr>
                  <w:rFonts w:hint="cs"/>
                  <w:b/>
                  <w:bCs/>
                  <w:noProof w:val="0"/>
                  <w:sz w:val="26"/>
                  <w:szCs w:val="26"/>
                  <w:rtl/>
                </w:rPr>
                <w:t>'</w:t>
              </w:r>
              <w:r w:rsidR="001209B4">
                <w:rPr>
                  <w:b/>
                  <w:bCs/>
                  <w:noProof w:val="0"/>
                  <w:sz w:val="26"/>
                  <w:szCs w:val="26"/>
                  <w:rtl/>
                </w:rPr>
                <w:t xml:space="preserve"> נ' א</w:t>
              </w:r>
              <w:r w:rsidR="001209B4">
                <w:rPr>
                  <w:rFonts w:hint="cs"/>
                  <w:b/>
                  <w:bCs/>
                  <w:noProof w:val="0"/>
                  <w:sz w:val="26"/>
                  <w:szCs w:val="26"/>
                  <w:rtl/>
                </w:rPr>
                <w:t>'</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278" w:rsidRDefault="00FA627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0E339E"/>
    <w:multiLevelType w:val="hybridMultilevel"/>
    <w:tmpl w:val="3EACC1E0"/>
    <w:lvl w:ilvl="0" w:tplc="26641AAA">
      <w:start w:val="1"/>
      <w:numFmt w:val="hebrew1"/>
      <w:lvlText w:val="%1."/>
      <w:lvlJc w:val="left"/>
      <w:pPr>
        <w:ind w:left="1800" w:hanging="360"/>
      </w:pPr>
      <w:rPr>
        <w:rFonts w:hint="default"/>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41093CEA"/>
    <w:multiLevelType w:val="hybridMultilevel"/>
    <w:tmpl w:val="D8DABAAE"/>
    <w:lvl w:ilvl="0" w:tplc="FE84AEE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9673844"/>
    <w:multiLevelType w:val="hybridMultilevel"/>
    <w:tmpl w:val="E788CD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B6F1B03"/>
    <w:multiLevelType w:val="hybridMultilevel"/>
    <w:tmpl w:val="76E22AC0"/>
    <w:lvl w:ilvl="0" w:tplc="C868CD9C">
      <w:start w:val="1"/>
      <w:numFmt w:val="decimal"/>
      <w:lvlText w:val="(%1)"/>
      <w:lvlJc w:val="left"/>
      <w:pPr>
        <w:ind w:left="2377" w:hanging="444"/>
      </w:pPr>
    </w:lvl>
    <w:lvl w:ilvl="1" w:tplc="04090019">
      <w:start w:val="1"/>
      <w:numFmt w:val="lowerLetter"/>
      <w:lvlText w:val="%2."/>
      <w:lvlJc w:val="left"/>
      <w:pPr>
        <w:ind w:left="3013" w:hanging="360"/>
      </w:pPr>
    </w:lvl>
    <w:lvl w:ilvl="2" w:tplc="0409001B">
      <w:start w:val="1"/>
      <w:numFmt w:val="lowerRoman"/>
      <w:lvlText w:val="%3."/>
      <w:lvlJc w:val="right"/>
      <w:pPr>
        <w:ind w:left="3733" w:hanging="180"/>
      </w:pPr>
    </w:lvl>
    <w:lvl w:ilvl="3" w:tplc="0409000F">
      <w:start w:val="1"/>
      <w:numFmt w:val="decimal"/>
      <w:lvlText w:val="%4."/>
      <w:lvlJc w:val="left"/>
      <w:pPr>
        <w:ind w:left="4453" w:hanging="360"/>
      </w:pPr>
    </w:lvl>
    <w:lvl w:ilvl="4" w:tplc="04090019">
      <w:start w:val="1"/>
      <w:numFmt w:val="lowerLetter"/>
      <w:lvlText w:val="%5."/>
      <w:lvlJc w:val="left"/>
      <w:pPr>
        <w:ind w:left="5173" w:hanging="360"/>
      </w:pPr>
    </w:lvl>
    <w:lvl w:ilvl="5" w:tplc="0409001B">
      <w:start w:val="1"/>
      <w:numFmt w:val="lowerRoman"/>
      <w:lvlText w:val="%6."/>
      <w:lvlJc w:val="right"/>
      <w:pPr>
        <w:ind w:left="5893" w:hanging="180"/>
      </w:pPr>
    </w:lvl>
    <w:lvl w:ilvl="6" w:tplc="0409000F">
      <w:start w:val="1"/>
      <w:numFmt w:val="decimal"/>
      <w:lvlText w:val="%7."/>
      <w:lvlJc w:val="left"/>
      <w:pPr>
        <w:ind w:left="6613" w:hanging="360"/>
      </w:pPr>
    </w:lvl>
    <w:lvl w:ilvl="7" w:tplc="04090019">
      <w:start w:val="1"/>
      <w:numFmt w:val="lowerLetter"/>
      <w:lvlText w:val="%8."/>
      <w:lvlJc w:val="left"/>
      <w:pPr>
        <w:ind w:left="7333" w:hanging="360"/>
      </w:pPr>
    </w:lvl>
    <w:lvl w:ilvl="8" w:tplc="0409001B">
      <w:start w:val="1"/>
      <w:numFmt w:val="lowerRoman"/>
      <w:lvlText w:val="%9."/>
      <w:lvlJc w:val="right"/>
      <w:pPr>
        <w:ind w:left="8053" w:hanging="180"/>
      </w:pPr>
    </w:lvl>
  </w:abstractNum>
  <w:abstractNum w:abstractNumId="4" w15:restartNumberingAfterBreak="0">
    <w:nsid w:val="6B295C5E"/>
    <w:multiLevelType w:val="hybridMultilevel"/>
    <w:tmpl w:val="91086024"/>
    <w:lvl w:ilvl="0" w:tplc="D2464E7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27BD5"/>
    <w:multiLevelType w:val="hybridMultilevel"/>
    <w:tmpl w:val="3FBC5982"/>
    <w:lvl w:ilvl="0" w:tplc="5BB6CCD0">
      <w:start w:val="1"/>
      <w:numFmt w:val="decimal"/>
      <w:lvlText w:val="(%1)"/>
      <w:lvlJc w:val="left"/>
      <w:pPr>
        <w:ind w:left="2829" w:hanging="675"/>
      </w:pPr>
      <w:rPr>
        <w:b/>
        <w:bCs/>
        <w:lang w:bidi="he-IL"/>
      </w:rPr>
    </w:lvl>
    <w:lvl w:ilvl="1" w:tplc="04090019">
      <w:start w:val="1"/>
      <w:numFmt w:val="lowerLetter"/>
      <w:lvlText w:val="%2."/>
      <w:lvlJc w:val="left"/>
      <w:pPr>
        <w:ind w:left="3234" w:hanging="360"/>
      </w:pPr>
    </w:lvl>
    <w:lvl w:ilvl="2" w:tplc="0409001B">
      <w:start w:val="1"/>
      <w:numFmt w:val="lowerRoman"/>
      <w:lvlText w:val="%3."/>
      <w:lvlJc w:val="right"/>
      <w:pPr>
        <w:ind w:left="3954" w:hanging="180"/>
      </w:pPr>
    </w:lvl>
    <w:lvl w:ilvl="3" w:tplc="0409000F">
      <w:start w:val="1"/>
      <w:numFmt w:val="decimal"/>
      <w:lvlText w:val="%4."/>
      <w:lvlJc w:val="left"/>
      <w:pPr>
        <w:ind w:left="4674" w:hanging="360"/>
      </w:pPr>
    </w:lvl>
    <w:lvl w:ilvl="4" w:tplc="04090019">
      <w:start w:val="1"/>
      <w:numFmt w:val="lowerLetter"/>
      <w:lvlText w:val="%5."/>
      <w:lvlJc w:val="left"/>
      <w:pPr>
        <w:ind w:left="5394" w:hanging="360"/>
      </w:pPr>
    </w:lvl>
    <w:lvl w:ilvl="5" w:tplc="0409001B">
      <w:start w:val="1"/>
      <w:numFmt w:val="lowerRoman"/>
      <w:lvlText w:val="%6."/>
      <w:lvlJc w:val="right"/>
      <w:pPr>
        <w:ind w:left="6114" w:hanging="180"/>
      </w:pPr>
    </w:lvl>
    <w:lvl w:ilvl="6" w:tplc="0409000F">
      <w:start w:val="1"/>
      <w:numFmt w:val="decimal"/>
      <w:lvlText w:val="%7."/>
      <w:lvlJc w:val="left"/>
      <w:pPr>
        <w:ind w:left="6834" w:hanging="360"/>
      </w:pPr>
    </w:lvl>
    <w:lvl w:ilvl="7" w:tplc="04090019">
      <w:start w:val="1"/>
      <w:numFmt w:val="lowerLetter"/>
      <w:lvlText w:val="%8."/>
      <w:lvlJc w:val="left"/>
      <w:pPr>
        <w:ind w:left="7554" w:hanging="360"/>
      </w:pPr>
    </w:lvl>
    <w:lvl w:ilvl="8" w:tplc="0409001B">
      <w:start w:val="1"/>
      <w:numFmt w:val="lowerRoman"/>
      <w:lvlText w:val="%9."/>
      <w:lvlJc w:val="right"/>
      <w:pPr>
        <w:ind w:left="8274" w:hanging="180"/>
      </w:pPr>
    </w:lvl>
  </w:abstractNum>
  <w:abstractNum w:abstractNumId="6" w15:restartNumberingAfterBreak="0">
    <w:nsid w:val="728766E6"/>
    <w:multiLevelType w:val="hybridMultilevel"/>
    <w:tmpl w:val="E7DC7C16"/>
    <w:lvl w:ilvl="0" w:tplc="461E70B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5E22CB4"/>
    <w:multiLevelType w:val="hybridMultilevel"/>
    <w:tmpl w:val="6890F2DA"/>
    <w:lvl w:ilvl="0" w:tplc="1398FFA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6"/>
  </w:num>
  <w:num w:numId="7">
    <w:abstractNumId w:val="1"/>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87806"/>
    <w:docVar w:name="CourtID" w:val="1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687806&amp;lt;/CaseID&amp;gt;_x000d__x000a_        &amp;lt;DocumentID&amp;gt;418644429&amp;lt;/DocumentID&amp;gt;_x000d__x000a_      &amp;lt;/dt_DocumentCase&amp;gt;_x000d__x000a_      &amp;lt;dt_Document diffgr:id=&amp;quot;dt_Document1&amp;quot; msdata:rowOrder=&amp;quot;0&amp;quot;&amp;gt;_x000d__x000a_        &amp;lt;DocumentID&amp;gt;418644429&amp;lt;/DocumentID&amp;gt;_x000d__x000a_        &amp;lt;DocumentMainID&amp;gt;0&amp;lt;/DocumentMainID&amp;gt;_x000d__x000a_        &amp;lt;CaseID&amp;gt;79687806&amp;lt;/CaseID&amp;gt;_x000d__x000a_        &amp;lt;DocumentIncludedDate&amp;gt;2023-08-03T12:49:47.717+03:00&amp;lt;/DocumentIncludedDate&amp;gt;_x000d__x000a_        &amp;lt;DocumentDesc&amp;gt;פסק דין  שניתנה ע&amp;quot;י  סארי ג&amp;#39;יוס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8-03T12:49:47.717+03:00&amp;lt;/DocumentSavingDate&amp;gt;_x000d__x000a_        &amp;lt;DocumentChangeDate&amp;gt;2023-08-03T12:49:47.827+03:00&amp;lt;/DocumentChangeDate&amp;gt;_x000d__x000a_        &amp;lt;IsScanned&amp;gt;false&amp;lt;/IsScanned&amp;gt;_x000d__x000a_        &amp;lt;PageQuantity&amp;gt;0&amp;lt;/PageQuantity&amp;gt;_x000d__x000a_        &amp;lt;DocumentStatusID&amp;gt;2&amp;lt;/DocumentStatusID&amp;gt;_x000d__x000a_        &amp;lt;DocumentStatusChangeDate&amp;gt;2023-08-03T12:49:47.827+03:00&amp;lt;/DocumentStatusChangeDate&amp;gt;_x000d__x000a_        &amp;lt;TemplateVersionID&amp;gt;1&amp;lt;/TemplateVersionID&amp;gt;_x000d__x000a_        &amp;lt;DocumentChangeUserID&amp;gt;023469166@GOV.IL&amp;lt;/DocumentChangeUserID&amp;gt;_x000d__x000a_        &amp;lt;DocumentCreationUserID&amp;gt;023469166@GOV.IL&amp;lt;/DocumentCreationUserID&amp;gt;_x000d__x000a_        &amp;lt;OriginalDocumentID&amp;gt;412747982&amp;lt;/OriginalDocumentID&amp;gt;_x000d__x000a_        &amp;lt;PrivillegeID&amp;gt;2&amp;lt;/PrivillegeID&amp;gt;_x000d__x000a_        &amp;lt;FromPage&amp;gt;0&amp;lt;/FromPage&amp;gt;_x000d__x000a_        &amp;lt;ToPage&amp;gt;0&amp;lt;/ToPage&amp;gt;_x000d__x000a_        &amp;lt;FileID&amp;gt;85a9cdba89010000090037f6a76d4946&amp;lt;/FileID&amp;gt;_x000d__x000a_        &amp;lt;URL&amp;gt;\\CTLNFSV02\doc_repository\772\964\7f7b69f484b2413bb41caeee78532ffa_copy.docx&amp;lt;/URL&amp;gt;_x000d__x000a_        &amp;lt;OlivePriority&amp;gt;1&amp;lt;/OlivePriority&amp;gt;_x000d__x000a_        &amp;lt;MetaDataTypeID&amp;gt;1&amp;lt;/MetaDataTypeID&amp;gt;_x000d__x000a_        &amp;lt;MetaDataChangeDate&amp;gt;2023-08-03T12:49:47.82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סארי ג&amp;#39;יוסי&amp;amp;lt;/anyType&amp;amp;gt;_x000d__x000a_    &amp;amp;lt;anyType xsi:type=&amp;quot;xsd:dateTime&amp;quot;&amp;amp;gt;2023-08-03T12:48:49.834050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8-03T12:48:49.83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068C6"/>
    <w:rsid w:val="00016DB2"/>
    <w:rsid w:val="000331D6"/>
    <w:rsid w:val="000332EF"/>
    <w:rsid w:val="000529D2"/>
    <w:rsid w:val="000564AB"/>
    <w:rsid w:val="00064FBD"/>
    <w:rsid w:val="00082AB2"/>
    <w:rsid w:val="000906FE"/>
    <w:rsid w:val="00096AF7"/>
    <w:rsid w:val="000A078F"/>
    <w:rsid w:val="000B344B"/>
    <w:rsid w:val="000C3B0F"/>
    <w:rsid w:val="000C3B60"/>
    <w:rsid w:val="000E0DD2"/>
    <w:rsid w:val="000E3AF1"/>
    <w:rsid w:val="000F0BC8"/>
    <w:rsid w:val="000F0DD6"/>
    <w:rsid w:val="00107E6D"/>
    <w:rsid w:val="0011194C"/>
    <w:rsid w:val="0011424C"/>
    <w:rsid w:val="001173C6"/>
    <w:rsid w:val="001209B4"/>
    <w:rsid w:val="00122A9F"/>
    <w:rsid w:val="001367BC"/>
    <w:rsid w:val="00144D2A"/>
    <w:rsid w:val="0014653E"/>
    <w:rsid w:val="00151F60"/>
    <w:rsid w:val="00156C37"/>
    <w:rsid w:val="00173435"/>
    <w:rsid w:val="00180519"/>
    <w:rsid w:val="00191C82"/>
    <w:rsid w:val="001C4003"/>
    <w:rsid w:val="001D4DBF"/>
    <w:rsid w:val="001E75CA"/>
    <w:rsid w:val="002265FF"/>
    <w:rsid w:val="0023101F"/>
    <w:rsid w:val="00242D5E"/>
    <w:rsid w:val="00265C7A"/>
    <w:rsid w:val="00271B56"/>
    <w:rsid w:val="00272E32"/>
    <w:rsid w:val="002B6AEA"/>
    <w:rsid w:val="002C344E"/>
    <w:rsid w:val="002E43F0"/>
    <w:rsid w:val="002E75E9"/>
    <w:rsid w:val="002F0B1E"/>
    <w:rsid w:val="00307A6A"/>
    <w:rsid w:val="00307C40"/>
    <w:rsid w:val="00320433"/>
    <w:rsid w:val="003230C7"/>
    <w:rsid w:val="00323725"/>
    <w:rsid w:val="00327E50"/>
    <w:rsid w:val="0033597A"/>
    <w:rsid w:val="00343D89"/>
    <w:rsid w:val="00362612"/>
    <w:rsid w:val="0036743F"/>
    <w:rsid w:val="003715DD"/>
    <w:rsid w:val="00373521"/>
    <w:rsid w:val="003823E0"/>
    <w:rsid w:val="00384642"/>
    <w:rsid w:val="003A4521"/>
    <w:rsid w:val="003D1C8C"/>
    <w:rsid w:val="003D66EC"/>
    <w:rsid w:val="003E38C7"/>
    <w:rsid w:val="0040096C"/>
    <w:rsid w:val="00414F1F"/>
    <w:rsid w:val="00422AE5"/>
    <w:rsid w:val="0043125D"/>
    <w:rsid w:val="0043502B"/>
    <w:rsid w:val="004443AC"/>
    <w:rsid w:val="00444B02"/>
    <w:rsid w:val="00445A55"/>
    <w:rsid w:val="004465B6"/>
    <w:rsid w:val="00451E28"/>
    <w:rsid w:val="00462C62"/>
    <w:rsid w:val="00465D36"/>
    <w:rsid w:val="004C17EE"/>
    <w:rsid w:val="004C4BDF"/>
    <w:rsid w:val="004D1187"/>
    <w:rsid w:val="004D3AA0"/>
    <w:rsid w:val="004E1987"/>
    <w:rsid w:val="004E2E15"/>
    <w:rsid w:val="004E6E3C"/>
    <w:rsid w:val="005117E0"/>
    <w:rsid w:val="00516B39"/>
    <w:rsid w:val="00520898"/>
    <w:rsid w:val="00523621"/>
    <w:rsid w:val="00524986"/>
    <w:rsid w:val="005268F6"/>
    <w:rsid w:val="00534284"/>
    <w:rsid w:val="00547DB7"/>
    <w:rsid w:val="00557717"/>
    <w:rsid w:val="00576A86"/>
    <w:rsid w:val="005C75C2"/>
    <w:rsid w:val="005E0678"/>
    <w:rsid w:val="005F4F09"/>
    <w:rsid w:val="00603F73"/>
    <w:rsid w:val="0061431B"/>
    <w:rsid w:val="00622BAA"/>
    <w:rsid w:val="006306CF"/>
    <w:rsid w:val="00644E9A"/>
    <w:rsid w:val="00671BD5"/>
    <w:rsid w:val="006805C1"/>
    <w:rsid w:val="00686C21"/>
    <w:rsid w:val="006931C1"/>
    <w:rsid w:val="00694556"/>
    <w:rsid w:val="006C30C5"/>
    <w:rsid w:val="006D3B31"/>
    <w:rsid w:val="006D4858"/>
    <w:rsid w:val="006E0D96"/>
    <w:rsid w:val="006E1A53"/>
    <w:rsid w:val="006F3FEE"/>
    <w:rsid w:val="006F56E6"/>
    <w:rsid w:val="007033E1"/>
    <w:rsid w:val="00704EDA"/>
    <w:rsid w:val="00721122"/>
    <w:rsid w:val="00723423"/>
    <w:rsid w:val="00734689"/>
    <w:rsid w:val="007351F7"/>
    <w:rsid w:val="00753019"/>
    <w:rsid w:val="00754801"/>
    <w:rsid w:val="00756E5C"/>
    <w:rsid w:val="00761441"/>
    <w:rsid w:val="00795365"/>
    <w:rsid w:val="007A351D"/>
    <w:rsid w:val="007B7765"/>
    <w:rsid w:val="007C2453"/>
    <w:rsid w:val="007C5BDD"/>
    <w:rsid w:val="007D45E3"/>
    <w:rsid w:val="007E6115"/>
    <w:rsid w:val="007F4609"/>
    <w:rsid w:val="00805EFF"/>
    <w:rsid w:val="0081085E"/>
    <w:rsid w:val="00814468"/>
    <w:rsid w:val="008176A1"/>
    <w:rsid w:val="00820005"/>
    <w:rsid w:val="00844318"/>
    <w:rsid w:val="00860102"/>
    <w:rsid w:val="00863F5D"/>
    <w:rsid w:val="00864D1D"/>
    <w:rsid w:val="00870890"/>
    <w:rsid w:val="00873602"/>
    <w:rsid w:val="00875A05"/>
    <w:rsid w:val="00875D12"/>
    <w:rsid w:val="00876170"/>
    <w:rsid w:val="0088479D"/>
    <w:rsid w:val="00891F42"/>
    <w:rsid w:val="00893E93"/>
    <w:rsid w:val="00896889"/>
    <w:rsid w:val="008A6E97"/>
    <w:rsid w:val="008B0EE1"/>
    <w:rsid w:val="008C5714"/>
    <w:rsid w:val="008D10B2"/>
    <w:rsid w:val="009031D5"/>
    <w:rsid w:val="00903896"/>
    <w:rsid w:val="00906F3D"/>
    <w:rsid w:val="0094424E"/>
    <w:rsid w:val="00953441"/>
    <w:rsid w:val="00955642"/>
    <w:rsid w:val="009622DF"/>
    <w:rsid w:val="0096493F"/>
    <w:rsid w:val="00967DFF"/>
    <w:rsid w:val="009829C1"/>
    <w:rsid w:val="00992FD4"/>
    <w:rsid w:val="00994341"/>
    <w:rsid w:val="009A4355"/>
    <w:rsid w:val="009B1D35"/>
    <w:rsid w:val="009C5792"/>
    <w:rsid w:val="009D1A48"/>
    <w:rsid w:val="009E1CE7"/>
    <w:rsid w:val="009E461A"/>
    <w:rsid w:val="009E4EA5"/>
    <w:rsid w:val="009F164B"/>
    <w:rsid w:val="009F323C"/>
    <w:rsid w:val="00A15FCD"/>
    <w:rsid w:val="00A3392B"/>
    <w:rsid w:val="00A46717"/>
    <w:rsid w:val="00A85E34"/>
    <w:rsid w:val="00A9144F"/>
    <w:rsid w:val="00A94B64"/>
    <w:rsid w:val="00AA3229"/>
    <w:rsid w:val="00AA7596"/>
    <w:rsid w:val="00AA7744"/>
    <w:rsid w:val="00AB3AE3"/>
    <w:rsid w:val="00AB5E52"/>
    <w:rsid w:val="00AC3B02"/>
    <w:rsid w:val="00AC3B7B"/>
    <w:rsid w:val="00AC5209"/>
    <w:rsid w:val="00AE0E34"/>
    <w:rsid w:val="00AE729E"/>
    <w:rsid w:val="00AE7752"/>
    <w:rsid w:val="00AF7FDA"/>
    <w:rsid w:val="00B02B6C"/>
    <w:rsid w:val="00B07BF7"/>
    <w:rsid w:val="00B5356E"/>
    <w:rsid w:val="00B73504"/>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26613"/>
    <w:rsid w:val="00C31120"/>
    <w:rsid w:val="00C34482"/>
    <w:rsid w:val="00C43648"/>
    <w:rsid w:val="00C50A9F"/>
    <w:rsid w:val="00C642FA"/>
    <w:rsid w:val="00C770E3"/>
    <w:rsid w:val="00CC7622"/>
    <w:rsid w:val="00CD608F"/>
    <w:rsid w:val="00CF6BB7"/>
    <w:rsid w:val="00D04AA4"/>
    <w:rsid w:val="00D17B57"/>
    <w:rsid w:val="00D27982"/>
    <w:rsid w:val="00D33B86"/>
    <w:rsid w:val="00D44968"/>
    <w:rsid w:val="00D53924"/>
    <w:rsid w:val="00D55D0C"/>
    <w:rsid w:val="00D96D8C"/>
    <w:rsid w:val="00DA6649"/>
    <w:rsid w:val="00DB5043"/>
    <w:rsid w:val="00DC1259"/>
    <w:rsid w:val="00DC1BD2"/>
    <w:rsid w:val="00DC2571"/>
    <w:rsid w:val="00DC487C"/>
    <w:rsid w:val="00DD05A8"/>
    <w:rsid w:val="00DD4335"/>
    <w:rsid w:val="00DE1E7D"/>
    <w:rsid w:val="00DE6BF6"/>
    <w:rsid w:val="00E00709"/>
    <w:rsid w:val="00E1068A"/>
    <w:rsid w:val="00E25884"/>
    <w:rsid w:val="00E25B55"/>
    <w:rsid w:val="00E31C2B"/>
    <w:rsid w:val="00E5215E"/>
    <w:rsid w:val="00E5426A"/>
    <w:rsid w:val="00E54642"/>
    <w:rsid w:val="00E80CBE"/>
    <w:rsid w:val="00E9269D"/>
    <w:rsid w:val="00E962E3"/>
    <w:rsid w:val="00EB6C79"/>
    <w:rsid w:val="00EC37E9"/>
    <w:rsid w:val="00F038D8"/>
    <w:rsid w:val="00F06995"/>
    <w:rsid w:val="00F12D66"/>
    <w:rsid w:val="00F13623"/>
    <w:rsid w:val="00F306E0"/>
    <w:rsid w:val="00F44D1D"/>
    <w:rsid w:val="00F50F1A"/>
    <w:rsid w:val="00F84B6D"/>
    <w:rsid w:val="00F957E8"/>
    <w:rsid w:val="00FA311A"/>
    <w:rsid w:val="00FA5FDA"/>
    <w:rsid w:val="00FA6278"/>
    <w:rsid w:val="00FB6AB3"/>
    <w:rsid w:val="00FC3964"/>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26613"/>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C26613"/>
    <w:rPr>
      <w:color w:val="0000FF"/>
      <w:u w:val="single"/>
    </w:rPr>
  </w:style>
  <w:style w:type="paragraph" w:customStyle="1" w:styleId="David">
    <w:name w:val="סגנון (עברית ושפות אחרות) David מיושר לשני הצדדים מרווח בין שורות..."/>
    <w:basedOn w:val="a"/>
    <w:rsid w:val="004465B6"/>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18001">
      <w:bodyDiv w:val="1"/>
      <w:marLeft w:val="0"/>
      <w:marRight w:val="0"/>
      <w:marTop w:val="0"/>
      <w:marBottom w:val="0"/>
      <w:divBdr>
        <w:top w:val="none" w:sz="0" w:space="0" w:color="auto"/>
        <w:left w:val="none" w:sz="0" w:space="0" w:color="auto"/>
        <w:bottom w:val="none" w:sz="0" w:space="0" w:color="auto"/>
        <w:right w:val="none" w:sz="0" w:space="0" w:color="auto"/>
      </w:divBdr>
    </w:div>
    <w:div w:id="553397008">
      <w:bodyDiv w:val="1"/>
      <w:marLeft w:val="0"/>
      <w:marRight w:val="0"/>
      <w:marTop w:val="0"/>
      <w:marBottom w:val="0"/>
      <w:divBdr>
        <w:top w:val="none" w:sz="0" w:space="0" w:color="auto"/>
        <w:left w:val="none" w:sz="0" w:space="0" w:color="auto"/>
        <w:bottom w:val="none" w:sz="0" w:space="0" w:color="auto"/>
        <w:right w:val="none" w:sz="0" w:space="0" w:color="auto"/>
      </w:divBdr>
    </w:div>
    <w:div w:id="64771196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0445329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20004074" TargetMode="External"/><Relationship Id="rId18" Type="http://schemas.openxmlformats.org/officeDocument/2006/relationships/hyperlink" Target="http://www.nevo.co.il/case/6230693"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nevo.co.il/law/72138/8.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evo.co.il/case/6244322" TargetMode="External"/><Relationship Id="rId17" Type="http://schemas.openxmlformats.org/officeDocument/2006/relationships/hyperlink" Target="http://www.nevo.co.il/case/2538877" TargetMode="External"/><Relationship Id="rId25" Type="http://schemas.openxmlformats.org/officeDocument/2006/relationships/image" Target="media/image3.png"/><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www.nevo.co.il/case/17016461" TargetMode="External"/><Relationship Id="rId20" Type="http://schemas.openxmlformats.org/officeDocument/2006/relationships/hyperlink" Target="http://www.nevo.co.il/case/6218695" TargetMode="External"/><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2138" TargetMode="External"/><Relationship Id="rId24" Type="http://schemas.openxmlformats.org/officeDocument/2006/relationships/image" Target="media/image2.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evo.co.il/case/6247704" TargetMode="External"/><Relationship Id="rId23" Type="http://schemas.openxmlformats.org/officeDocument/2006/relationships/image" Target="media/image1.png"/><Relationship Id="rId28" Type="http://schemas.openxmlformats.org/officeDocument/2006/relationships/footer" Target="footer1.xml"/><Relationship Id="rId10" Type="http://schemas.openxmlformats.org/officeDocument/2006/relationships/hyperlink" Target="http://www.nevo.co.il/case/6247704" TargetMode="External"/><Relationship Id="rId19" Type="http://schemas.openxmlformats.org/officeDocument/2006/relationships/hyperlink" Target="http://www.nevo.co.il/case/6243550"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nevo.co.il/law/72138" TargetMode="External"/><Relationship Id="rId14" Type="http://schemas.openxmlformats.org/officeDocument/2006/relationships/hyperlink" Target="http://www.nevo.co.il/safrut/bookgroup/2355" TargetMode="External"/><Relationship Id="rId22" Type="http://schemas.openxmlformats.org/officeDocument/2006/relationships/hyperlink" Target="http://www.nevo.co.il/law/72138"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www.nevo.co.il/law/72138/8.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52C4E85719442FFB2EC8DD7DE5FFF40"/>
        <w:category>
          <w:name w:val="כללי"/>
          <w:gallery w:val="placeholder"/>
        </w:category>
        <w:types>
          <w:type w:val="bbPlcHdr"/>
        </w:types>
        <w:behaviors>
          <w:behavior w:val="content"/>
        </w:behaviors>
        <w:guid w:val="{EBBCD13C-2A21-4178-ACFB-00A4A7EAF165}"/>
      </w:docPartPr>
      <w:docPartBody>
        <w:p w:rsidR="009133C7" w:rsidRDefault="00AA7CE3">
          <w:r w:rsidRPr="00D47A1C">
            <w:rPr>
              <w:rStyle w:val="a3"/>
              <w:rtl/>
            </w:rPr>
            <w:t>לחץ כאן להזנת טקסט</w:t>
          </w:r>
          <w:r w:rsidRPr="00D47A1C">
            <w:rPr>
              <w:rStyle w:val="a3"/>
            </w:rPr>
            <w:t>.</w:t>
          </w:r>
        </w:p>
      </w:docPartBody>
    </w:docPart>
    <w:docPart>
      <w:docPartPr>
        <w:name w:val="4DC8B8E572A54834BA9A42F34ADD6B8D"/>
        <w:category>
          <w:name w:val="כללי"/>
          <w:gallery w:val="placeholder"/>
        </w:category>
        <w:types>
          <w:type w:val="bbPlcHdr"/>
        </w:types>
        <w:behaviors>
          <w:behavior w:val="content"/>
        </w:behaviors>
        <w:guid w:val="{CBF1BB7B-0B25-407D-8594-297ED2567CB8}"/>
      </w:docPartPr>
      <w:docPartBody>
        <w:p w:rsidR="007E254A" w:rsidRDefault="00F04DC1" w:rsidP="00F04DC1">
          <w:pPr>
            <w:pStyle w:val="4CB7196AAF294F94B2C6087C9BF06E84"/>
          </w:pPr>
          <w:r w:rsidRPr="005929DA">
            <w:rPr>
              <w:rStyle w:val="a3"/>
              <w:rtl/>
            </w:rPr>
            <w:t>לחץ כאן להזנת טקסט</w:t>
          </w:r>
          <w:r w:rsidRPr="005929DA">
            <w:rPr>
              <w:rStyle w:val="a3"/>
            </w:rPr>
            <w:t>.</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D24AB1" w:rsidRDefault="0019089A">
          <w:pPr>
            <w:pStyle w:val="4F36F36B7519425E8853EE2B750DFCFA"/>
          </w:pPr>
          <w:r>
            <w:rPr>
              <w:b/>
              <w:bCs/>
              <w:rtl/>
            </w:rPr>
            <w:t>סוג זיהוי צד א</w:t>
          </w:r>
        </w:p>
      </w:docPartBody>
    </w:docPart>
    <w:docPart>
      <w:docPartPr>
        <w:name w:val="57A7590BD4024795936983D25FF3CBD2"/>
        <w:category>
          <w:name w:val="כללי"/>
          <w:gallery w:val="placeholder"/>
        </w:category>
        <w:types>
          <w:type w:val="bbPlcHdr"/>
        </w:types>
        <w:behaviors>
          <w:behavior w:val="content"/>
        </w:behaviors>
        <w:guid w:val="{0A876B44-A0C2-4748-B368-D0CAFDAFCFA9}"/>
      </w:docPartPr>
      <w:docPartBody>
        <w:p w:rsidR="00D24AB1" w:rsidRDefault="0019089A" w:rsidP="0019089A">
          <w:pPr>
            <w:pStyle w:val="57A7590BD4024795936983D25FF3CBD2"/>
          </w:pPr>
          <w:r>
            <w:rPr>
              <w:b/>
              <w:bCs/>
              <w:rtl/>
            </w:rPr>
            <w:t xml:space="preserve">     </w:t>
          </w:r>
        </w:p>
      </w:docPartBody>
    </w:docPart>
    <w:docPart>
      <w:docPartPr>
        <w:name w:val="1D0067BF1153442EB8D9C4716E3479B7"/>
        <w:category>
          <w:name w:val="כללי"/>
          <w:gallery w:val="placeholder"/>
        </w:category>
        <w:types>
          <w:type w:val="bbPlcHdr"/>
        </w:types>
        <w:behaviors>
          <w:behavior w:val="content"/>
        </w:behaviors>
        <w:guid w:val="{7712EEE9-B38C-446C-977E-4A3FDA46AC79}"/>
      </w:docPartPr>
      <w:docPartBody>
        <w:p w:rsidR="001F2393" w:rsidRDefault="00C006B6" w:rsidP="00C006B6">
          <w:pPr>
            <w:pStyle w:val="1D0067BF1153442EB8D9C4716E3479B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9089A"/>
    <w:rsid w:val="001F2393"/>
    <w:rsid w:val="002D02C4"/>
    <w:rsid w:val="00345C9D"/>
    <w:rsid w:val="003571EE"/>
    <w:rsid w:val="0048651F"/>
    <w:rsid w:val="005157ED"/>
    <w:rsid w:val="005171E8"/>
    <w:rsid w:val="00551E63"/>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006B6"/>
    <w:rsid w:val="00C96C06"/>
    <w:rsid w:val="00CE1DCB"/>
    <w:rsid w:val="00D24521"/>
    <w:rsid w:val="00D24AB1"/>
    <w:rsid w:val="00DF7233"/>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52C4E85719442FFB2EC8DD7DE5FFF40">
    <w:name w:val="A52C4E85719442FFB2EC8DD7DE5FFF40"/>
    <w:pPr>
      <w:bidi/>
    </w:pPr>
  </w:style>
  <w:style w:type="paragraph" w:customStyle="1" w:styleId="5774047293A0457999C4A81AF525BB24">
    <w:name w:val="5774047293A0457999C4A81AF525BB24"/>
    <w:pPr>
      <w:bidi/>
    </w:pPr>
  </w:style>
  <w:style w:type="paragraph" w:customStyle="1" w:styleId="4F36F36B7519425E8853EE2B750DFCFA">
    <w:name w:val="4F36F36B7519425E8853EE2B750DFCFA"/>
    <w:pPr>
      <w:bidi/>
    </w:pPr>
  </w:style>
  <w:style w:type="paragraph" w:customStyle="1" w:styleId="4DC8B8E572A54834BA9A42F34ADD6B8D">
    <w:name w:val="4DC8B8E572A54834BA9A42F34ADD6B8D"/>
    <w:pPr>
      <w:bidi/>
    </w:pPr>
  </w:style>
  <w:style w:type="paragraph" w:customStyle="1" w:styleId="C1332869E562487BB6B1855B75AF1E82">
    <w:name w:val="C1332869E562487BB6B1855B75AF1E82"/>
    <w:pPr>
      <w:bidi/>
    </w:pPr>
  </w:style>
  <w:style w:type="paragraph" w:customStyle="1" w:styleId="0DAC511D57CE4BE8B8844328BE6C431C">
    <w:name w:val="0DAC511D57CE4BE8B8844328BE6C431C"/>
    <w:pPr>
      <w:bidi/>
    </w:pPr>
  </w:style>
  <w:style w:type="paragraph" w:customStyle="1" w:styleId="7DE46BBF84AB4A1787B3906FD975E068">
    <w:name w:val="7DE46BBF84AB4A1787B3906FD975E068"/>
    <w:pPr>
      <w:bidi/>
    </w:pPr>
  </w:style>
  <w:style w:type="character" w:styleId="a3">
    <w:name w:val="Placeholder Text"/>
    <w:basedOn w:val="a0"/>
    <w:uiPriority w:val="99"/>
    <w:semiHidden/>
    <w:rsid w:val="0019089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57A7590BD4024795936983D25FF3CBD2">
    <w:name w:val="57A7590BD4024795936983D25FF3CBD2"/>
    <w:rsid w:val="0019089A"/>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9089A"/>
    <w:pPr>
      <w:bidi/>
      <w:spacing w:after="0" w:line="240" w:lineRule="auto"/>
    </w:pPr>
    <w:rPr>
      <w:rFonts w:ascii="Times New Roman" w:eastAsia="Times New Roman" w:hAnsi="Times New Roman" w:cs="David"/>
      <w:noProof/>
      <w:sz w:val="24"/>
      <w:szCs w:val="24"/>
    </w:rPr>
  </w:style>
  <w:style w:type="paragraph" w:customStyle="1" w:styleId="1D0067BF1153442EB8D9C4716E3479B7">
    <w:name w:val="1D0067BF1153442EB8D9C4716E3479B7"/>
    <w:rsid w:val="00C006B6"/>
    <w:pPr>
      <w:bidi/>
      <w:spacing w:after="160" w:line="259" w:lineRule="auto"/>
    </w:pPr>
  </w:style>
  <w:style w:type="paragraph" w:customStyle="1" w:styleId="31CE180E91114B5A92138FB44D16BFB5">
    <w:name w:val="31CE180E91114B5A92138FB44D16BFB5"/>
    <w:rsid w:val="00C006B6"/>
    <w:pPr>
      <w:bidi/>
      <w:spacing w:after="160" w:line="259" w:lineRule="auto"/>
    </w:pPr>
  </w:style>
  <w:style w:type="paragraph" w:customStyle="1" w:styleId="F36A64AA15154D4FA807B8B0B33FA332">
    <w:name w:val="F36A64AA15154D4FA807B8B0B33FA332"/>
    <w:rsid w:val="00C006B6"/>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3904</Words>
  <Characters>19522</Characters>
  <Application>Microsoft Office Word</Application>
  <DocSecurity>0</DocSecurity>
  <Lines>162</Lines>
  <Paragraphs>46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2023-09-07T10:26:00Z</cp:lastPrinted>
  <dcterms:created xsi:type="dcterms:W3CDTF">2023-09-18T06:03:00Z</dcterms:created>
  <dcterms:modified xsi:type="dcterms:W3CDTF">2023-09-18T06:03:00Z</dcterms:modified>
</cp:coreProperties>
</file>